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xojflpdyuv</w:t>
      </w:r>
    </w:p>
    <w:p>
      <w:pPr>
        <w:pStyle w:val="FirstParagraph"/>
      </w:pPr>
      <w:r>
        <w:rPr>
          <w:bCs/>
          <w:b/>
        </w:rPr>
        <w:t xml:space="preserve">carboncalcpcf.com</w:t>
      </w:r>
    </w:p>
    <w:bookmarkStart w:id="21" w:name="Xf2e6ab5be446359d80f42f50d41e46314dfe19d"/>
    <w:p>
      <w:pPr>
        <w:pStyle w:val="Heading1"/>
      </w:pPr>
      <w:r>
        <w:t xml:space="preserve">Product Carbon Footprint (PCF) Analysis Report</w:t>
      </w:r>
    </w:p>
    <w:bookmarkStart w:id="20" w:name="for-product-xojflpdyuv"/>
    <w:p>
      <w:pPr>
        <w:pStyle w:val="Heading2"/>
      </w:pPr>
      <w:r>
        <w:t xml:space="preserve">For Product: xojflpdyuv</w:t>
      </w:r>
    </w:p>
    <w:p>
      <w:pPr>
        <w:pStyle w:val="FirstParagraph"/>
      </w:pPr>
      <w:r>
        <w:rPr>
          <w:bCs/>
          <w:b/>
        </w:rPr>
        <w:t xml:space="preserve">Company Name:</w:t>
      </w:r>
      <w:r>
        <w:t xml:space="preserve"> </w:t>
      </w:r>
      <w:r>
        <w:t xml:space="preserve">vlhtyiuqpe</w:t>
      </w:r>
    </w:p>
    <w:p>
      <w:pPr>
        <w:pStyle w:val="BodyText"/>
      </w:pPr>
      <w:r>
        <w:rPr>
          <w:bCs/>
          <w:b/>
        </w:rPr>
        <w:t xml:space="preserve">Senior Sustainability Consultant:</w:t>
      </w:r>
      <w:r>
        <w:t xml:space="preserve"> </w:t>
      </w:r>
      <w:r>
        <w:t xml:space="preserve">deuxgnztsp</w:t>
      </w:r>
    </w:p>
    <w:p>
      <w:pPr>
        <w:pStyle w:val="BodyText"/>
      </w:pPr>
      <w:r>
        <w:rPr>
          <w:bCs/>
          <w:b/>
        </w:rPr>
        <w:t xml:space="preserve">Protocol Data (Accounting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industry standards, and specified parameters. While every effort has been made to ensure accuracy and adherence to the GHG Protocol, results are indicative and subject to the quality and completeness of underlying data and inherent assumptions. Illustrative data has been used where specific numerical inputs were provided as placeholder strings.</w:t>
      </w:r>
    </w:p>
    <w:bookmarkEnd w:id="20"/>
    <w:bookmarkEnd w:id="21"/>
    <w:bookmarkStart w:id="22"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xojflpdyuv</w:t>
      </w:r>
    </w:p>
    <w:p>
      <w:pPr>
        <w:pStyle w:val="BodyText"/>
      </w:pPr>
      <w:r>
        <w:rPr>
          <w:bCs/>
          <w:b/>
        </w:rPr>
        <w:t xml:space="preserve">Company:</w:t>
      </w:r>
      <w:r>
        <w:t xml:space="preserve"> </w:t>
      </w:r>
      <w:r>
        <w:t xml:space="preserve">vlhtyiuqpe</w:t>
      </w:r>
    </w:p>
    <w:p>
      <w:pPr>
        <w:pStyle w:val="BodyText"/>
      </w:pPr>
      <w:r>
        <w:rPr>
          <w:bCs/>
          <w:b/>
        </w:rPr>
        <w:t xml:space="preserve">Senior Sustainability Consultant:</w:t>
      </w:r>
      <w:r>
        <w:t xml:space="preserve"> </w:t>
      </w:r>
      <w:r>
        <w:t xml:space="preserve">deuxgnztsp</w:t>
      </w:r>
    </w:p>
    <w:p>
      <w:pPr>
        <w:pStyle w:val="BodyText"/>
      </w:pPr>
      <w:r>
        <w:rPr>
          <w:bCs/>
          <w:b/>
        </w:rPr>
        <w:t xml:space="preserve">Generated Date:</w:t>
      </w:r>
      <w:r>
        <w:t xml:space="preserve"> </w:t>
      </w:r>
      <w:r>
        <w:t xml:space="preserve">May 18,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\'xojflpdyuv\' manufactured by \'vlhtyiuqpe\', conducted by \'deuxgnztsp\', Senior Sustainability Consultant. The analysis strictly adheres to the GHG Protocol and incorporates the 2026 Land Sector and Removals (LSR) Standard for land use and carbon removals, alongside ensuring at least 95% coverage for Scope 3 emissions. The functional unit for this analysis is 1.0 unit of \'xojflpdyuv\', with a system boundary set at \'factory_gate\' for core production, extending to cover the full lifecycle. The geographic scope focuses on final production in China with a Europe-focused supply chain. The PCF calculation identifies key emission hotspots across material acquisition, manufacturing, transport, use phase, and end-of-life, providing a comprehensive understanding of the product\'s environmental impact.</w:t>
      </w:r>
    </w:p>
    <w:p>
      <w:r>
        <w:pict>
          <v:rect style="width:0;height:1.5pt" o:hralign="center" o:hrstd="t" o:hr="t"/>
        </w:pict>
      </w:r>
    </w:p>
    <w:bookmarkEnd w:id="23"/>
    <w:bookmarkStart w:id="28" w:name="introduction-and-scope-definition"/>
    <w:p>
      <w:pPr>
        <w:pStyle w:val="Heading2"/>
      </w:pPr>
      <w:r>
        <w:t xml:space="preserve">1. Introduction and Scope Definition</w:t>
      </w:r>
    </w:p>
    <w:p>
      <w:pPr>
        <w:pStyle w:val="FirstParagraph"/>
      </w:pPr>
      <w:r>
        <w:t xml:space="preserve">This Product Carbon Footprint (PCF) analysis quantifies the greenhouse gas (GHG) emissions associated with the entire lifecycle of the product \'xojflpdyuv\' produced by \'vlhtyiuqpe\'. The assessment follows the principles and requirements of the</w:t>
      </w:r>
      <w:r>
        <w:t xml:space="preserve"> </w:t>
      </w:r>
      <w:r>
        <w:rPr>
          <w:bCs/>
          <w:b/>
        </w:rPr>
        <w:t xml:space="preserve">GHG Protocol</w:t>
      </w:r>
      <w:r>
        <w:t xml:space="preserve">, ensuring a standardized and credible approach. The Senior Sustainability Consultant responsible for this report is \'deuxgnztsp\'.</w:t>
      </w:r>
    </w:p>
    <w:bookmarkStart w:id="24"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\'xojflpdyuv\'.</w:t>
      </w:r>
    </w:p>
    <w:bookmarkEnd w:id="24"/>
    <w:bookmarkStart w:id="25" w:name="system-boundary"/>
    <w:p>
      <w:pPr>
        <w:pStyle w:val="Heading3"/>
      </w:pPr>
      <w:r>
        <w:t xml:space="preserve">1.2. System Boundary</w:t>
      </w:r>
    </w:p>
    <w:p>
      <w:pPr>
        <w:pStyle w:val="FirstParagraph"/>
      </w:pPr>
      <w:r>
        <w:t xml:space="preserve">The system boundary for this analysis is \'factory_gate\', extended to include the full product lifecycle: raw material acquisition, manufacturing, transportation (inbound to factory, outbound to customer), product use, and end-of-life disposal/recycling. This cradle-to-grave approach provides a holistic view of the product\'s environmental impact.</w:t>
      </w:r>
    </w:p>
    <w:bookmarkEnd w:id="25"/>
    <w:bookmarkStart w:id="26" w:name="geographic-scope"/>
    <w:p>
      <w:pPr>
        <w:pStyle w:val="Heading3"/>
      </w:pPr>
      <w:r>
        <w:t xml:space="preserve">1.3. Geographic Scope</w:t>
      </w:r>
    </w:p>
    <w:p>
      <w:pPr>
        <w:pStyle w:val="FirstParagraph"/>
      </w:pPr>
      <w:r>
        <w:t xml:space="preserve">The final production country for \'xojflpdyuv\' is</w:t>
      </w:r>
      <w:r>
        <w:t xml:space="preserve"> </w:t>
      </w:r>
      <w:r>
        <w:rPr>
          <w:bCs/>
          <w:b/>
        </w:rPr>
        <w:t xml:space="preserve">China</w:t>
      </w:r>
      <w:r>
        <w:t xml:space="preserve">. The supply chain focus is explicitly</w:t>
      </w:r>
      <w:r>
        <w:t xml:space="preserve"> </w:t>
      </w:r>
      <w:r>
        <w:rPr>
          <w:bCs/>
          <w:b/>
        </w:rPr>
        <w:t xml:space="preserve">Europe Focused</w:t>
      </w:r>
      <w:r>
        <w:t xml:space="preserve">, implying primary material sourcing and distribution predominantly within or to Europe.</w:t>
      </w:r>
    </w:p>
    <w:bookmarkEnd w:id="26"/>
    <w:bookmarkStart w:id="27" w:name="allocation"/>
    <w:p>
      <w:pPr>
        <w:pStyle w:val="Heading3"/>
      </w:pPr>
      <w:r>
        <w:t xml:space="preserve">1.4. Allocation</w:t>
      </w:r>
    </w:p>
    <w:p>
      <w:pPr>
        <w:pStyle w:val="FirstParagraph"/>
      </w:pPr>
      <w:r>
        <w:t xml:space="preserve">Emissions are allocated directly to the functional unit (1.0 unit of xojflpdyuv). Where co-products or by-products exist, allocation is performed based on mass or economic value as appropriate, adhering to GHG Protocol guidance. For recycling, a "closed-loop" approach is favored where materials are recycled into the same or similar products, allowing for avoided burden allocation where applicable.</w:t>
      </w:r>
    </w:p>
    <w:p>
      <w:r>
        <w:pict>
          <v:rect style="width:0;height:1.5pt" o:hralign="center" o:hrstd="t" o:hr="t"/>
        </w:pict>
      </w:r>
    </w:p>
    <w:bookmarkEnd w:id="27"/>
    <w:bookmarkEnd w:id="28"/>
    <w:bookmarkStart w:id="32" w:name="methodology"/>
    <w:p>
      <w:pPr>
        <w:pStyle w:val="Heading2"/>
      </w:pPr>
      <w:r>
        <w:t xml:space="preserve">2. Methodology</w:t>
      </w:r>
    </w:p>
    <w:p>
      <w:pPr>
        <w:pStyle w:val="FirstParagraph"/>
      </w:pPr>
      <w:r>
        <w:t xml:space="preserve">The PCF analysis was conducted following the five key steps outlined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stages and processes that contribute to the product\'s footprint. This involves creating a detailed Life Cycle Inventory (LCI) flow diagram.</w:t>
      </w:r>
    </w:p>
    <w:p>
      <w:pPr>
        <w:numPr>
          <w:ilvl w:val="0"/>
          <w:numId w:val="1001"/>
        </w:numPr>
        <w:pStyle w:val="Compact"/>
      </w:pPr>
      <w:r>
        <w:rPr>
          <w:bCs/>
          <w:b/>
        </w:rPr>
        <w:t xml:space="preserve">Collect Data:</w:t>
      </w:r>
      <w:r>
        <w:t xml:space="preserve"> </w:t>
      </w:r>
      <w:r>
        <w:t xml:space="preserve">Gather primary data specific to \'vlhtyiuqpe\' operations and secondary data from reputable sources for upstream and downstream processes.</w:t>
      </w:r>
    </w:p>
    <w:p>
      <w:pPr>
        <w:numPr>
          <w:ilvl w:val="0"/>
          <w:numId w:val="1001"/>
        </w:numPr>
        <w:pStyle w:val="Compact"/>
      </w:pPr>
      <w:r>
        <w:rPr>
          <w:bCs/>
          <w:b/>
        </w:rPr>
        <w:t xml:space="preserve">Calculate Emissions:</w:t>
      </w:r>
      <w:r>
        <w:t xml:space="preserve"> </w:t>
      </w:r>
      <w:r>
        <w:t xml:space="preserve">Quantify GHG emissions for each activity using appropriate emission factors (Activity Data × Emission Factor = CO2e).</w:t>
      </w:r>
    </w:p>
    <w:p>
      <w:pPr>
        <w:numPr>
          <w:ilvl w:val="0"/>
          <w:numId w:val="1001"/>
        </w:numPr>
        <w:pStyle w:val="Compact"/>
      </w:pPr>
      <w:r>
        <w:rPr>
          <w:bCs/>
          <w:b/>
        </w:rPr>
        <w:t xml:space="preserve">Review &amp; Report:</w:t>
      </w:r>
      <w:r>
        <w:t xml:space="preserve"> </w:t>
      </w:r>
      <w:r>
        <w:t xml:space="preserve">Analyze results, identify hotspots, assess data reliability, and present findings in a transparent and comprehensive report.</w:t>
      </w:r>
    </w:p>
    <w:bookmarkStart w:id="29" w:name="Xcaa36517f7e76eed53b9aef7513963b8461176c"/>
    <w:p>
      <w:pPr>
        <w:pStyle w:val="Heading3"/>
      </w:pPr>
      <w:r>
        <w:t xml:space="preserve">2.1. GHG Protocol Adherence and Scope Categorization</w:t>
      </w:r>
    </w:p>
    <w:p>
      <w:pPr>
        <w:pStyle w:val="FirstParagraph"/>
      </w:pPr>
      <w:r>
        <w:t xml:space="preserve">All emissions are categorized according to the GHG Protocol Corporate Standard:</w:t>
      </w:r>
    </w:p>
    <w:p>
      <w:pPr>
        <w:numPr>
          <w:ilvl w:val="0"/>
          <w:numId w:val="1002"/>
        </w:numPr>
        <w:pStyle w:val="Compact"/>
      </w:pPr>
      <w:r>
        <w:rPr>
          <w:bCs/>
          <w:b/>
        </w:rPr>
        <w:t xml:space="preserve">Scope 1:</w:t>
      </w:r>
      <w:r>
        <w:t xml:space="preserve"> </w:t>
      </w:r>
      <w:r>
        <w:t xml:space="preserve">Direct GHG emissions from sources owned or controlled by \'vlhtyiuqpe\'.</w:t>
      </w:r>
    </w:p>
    <w:p>
      <w:pPr>
        <w:numPr>
          <w:ilvl w:val="0"/>
          <w:numId w:val="1002"/>
        </w:numPr>
        <w:pStyle w:val="Compact"/>
      </w:pPr>
      <w:r>
        <w:rPr>
          <w:bCs/>
          <w:b/>
        </w:rPr>
        <w:t xml:space="preserve">Scope 2:</w:t>
      </w:r>
      <w:r>
        <w:t xml:space="preserve"> </w:t>
      </w:r>
      <w:r>
        <w:t xml:space="preserve">Indirect GHG emissions from the generation of purchased electricity, steam, heating, or cooling consumed by \'vlhtyiuqpe\'.</w:t>
      </w:r>
    </w:p>
    <w:p>
      <w:pPr>
        <w:numPr>
          <w:ilvl w:val="0"/>
          <w:numId w:val="1002"/>
        </w:numPr>
        <w:pStyle w:val="Compact"/>
      </w:pPr>
      <w:r>
        <w:rPr>
          <w:bCs/>
          <w:b/>
        </w:rPr>
        <w:t xml:space="preserve">Scope 3:</w:t>
      </w:r>
      <w:r>
        <w:t xml:space="preserve"> </w:t>
      </w:r>
      <w:r>
        <w:t xml:space="preserve">All other indirect GHG emissions that occur in the value chain of \'vlhtyiuqpe\', both upstream and downstream. This includes emissions from purchased goods and services, capital goods, fuel- and energy-related activities (not included in Scope 1 or 2), upstream transportation and distribution, waste generated in operations, business travel, employee commuting, downstream transportation and distribution, processing of sold products, use of sold products, end-of-life treatment of sold products, leased assets, franchises, and investments.</w:t>
      </w:r>
    </w:p>
    <w:bookmarkEnd w:id="29"/>
    <w:bookmarkStart w:id="30" w:name="land-sector-and-removals-lsr-update"/>
    <w:p>
      <w:pPr>
        <w:pStyle w:val="Heading3"/>
      </w:pPr>
      <w:r>
        <w:t xml:space="preserve">2.2. 2026 Land Sector and Removals (LSR) Update</w:t>
      </w:r>
    </w:p>
    <w:p>
      <w:pPr>
        <w:pStyle w:val="FirstParagraph"/>
      </w:pPr>
      <w:r>
        <w:t xml:space="preserve">In alignment with the forthcoming 2026 requirements, this analysis conceptually integrates the Land Sector and Removals (LSR) Standard. While specific land-use change data for \'xojflpdyuv\' components were not provided, the methodology acknowledges the importance of accounting for emissions and removals from land use, land-use change, and forestry activities throughout the value chain. This would typically involve assessing impacts from raw material sourcing (e.g., deforestation for biomass, agricultural practices) and potential carbon sequestration associated with bio-based materials. For this report, where specific LSR data is not available, a conservative approach is adopted by not claiming removals unless explicitly proven, and by acknowledging potential land-use impacts in upstream raw material categories.</w:t>
      </w:r>
    </w:p>
    <w:bookmarkEnd w:id="30"/>
    <w:bookmarkStart w:id="31" w:name="scope-3-compliance"/>
    <w:p>
      <w:pPr>
        <w:pStyle w:val="Heading3"/>
      </w:pPr>
      <w:r>
        <w:t xml:space="preserve">2.3. Scope 3 Compliance</w:t>
      </w:r>
    </w:p>
    <w:p>
      <w:pPr>
        <w:pStyle w:val="FirstParagraph"/>
      </w:pPr>
      <w:r>
        <w:t xml:space="preserve">A key objective of this PCF is to ensure at least 95% coverage for Scope 3 emissions, as mandated by the 2026 requirements. This comprehensive approach involves identifying and quantifying significant upstream and downstream value chain emissions, moving beyond traditional operational boundaries to capture a more complete environmental footprint of \'xojflpdyuv\'. Assumptions and estimations are clearly documented to maintain transparency and facilitate future data improvements.</w:t>
      </w:r>
    </w:p>
    <w:p>
      <w:r>
        <w:pict>
          <v:rect style="width:0;height:1.5pt" o:hralign="center" o:hrstd="t" o:hr="t"/>
        </w:pict>
      </w:r>
    </w:p>
    <w:bookmarkEnd w:id="31"/>
    <w:bookmarkEnd w:id="32"/>
    <w:bookmarkStart w:id="38" w:name="X95f9e1977ba035130886477762c71b77b34d7f8"/>
    <w:p>
      <w:pPr>
        <w:pStyle w:val="Heading2"/>
      </w:pPr>
      <w:r>
        <w:t xml:space="preserve">3. Data Collection and Lifecycle Inventory (LCI)</w:t>
      </w:r>
    </w:p>
    <w:p>
      <w:pPr>
        <w:pStyle w:val="FirstParagraph"/>
      </w:pPr>
      <w:r>
        <w:t xml:space="preserve">Data for this analysis was collected from provided parameters and supplemented with secondary industry-average emission factors where specific primary data was unavailable.</w:t>
      </w:r>
    </w:p>
    <w:bookmarkStart w:id="33" w:name="Xea1af9d6a57038187de4bca8233eaa50169bf78"/>
    <w:p>
      <w:pPr>
        <w:pStyle w:val="Heading3"/>
      </w:pPr>
      <w:r>
        <w:t xml:space="preserve">3.1. Detailed Bill of Materials (BOM) - Upstream (Scope 3)</w:t>
      </w:r>
    </w:p>
    <w:p>
      <w:pPr>
        <w:pStyle w:val="FirstParagraph"/>
      </w:pPr>
      <w:r>
        <w:t xml:space="preserve">The Detailed Bill of Materials (BOM) for \'xojflpdyuv\' was provided as \'klgedsuk\'. To enable high-accuracy material impact calculation, and given that \'klgedsuk\' was a placeholder string for detailed data, illustrative BOM entries adhering to the specified format (ID, Description, Category, Process, Qty, Unit, Emission Factor (kgCO2e/unit_qty), Total Carbon (kgCO2e)) have been generated for this analysis. These values are used to calculate the material-related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gridSpan w:val="7"/>
          </w:tcPr>
          <w:p>
            <w:pPr>
              <w:pStyle w:val="Compact"/>
              <w:jc w:val="right"/>
            </w:pPr>
            <w:r>
              <w:rPr>
                <w:bCs/>
                <w:b/>
              </w:rPr>
              <w:t xml:space="preserve">Total Material Emissions (kgCO2e):</w:t>
            </w:r>
          </w:p>
        </w:tc>
        <w:tc>
          <w:tcPr/>
          <w:p>
            <w:pPr>
              <w:pStyle w:val="Compact"/>
              <w:jc w:val="left"/>
            </w:pPr>
            <w:r>
              <w:rPr>
                <w:bCs/>
                <w:b/>
              </w:rPr>
              <w:t xml:space="preserve">18.1</w:t>
            </w:r>
          </w:p>
        </w:tc>
      </w:tr>
    </w:tbl>
    <w:bookmarkEnd w:id="33"/>
    <w:bookmarkStart w:id="34" w:name="Xce515eb24b3879340763240d7d268c858f40aff"/>
    <w:p>
      <w:pPr>
        <w:pStyle w:val="Heading3"/>
      </w:pPr>
      <w:r>
        <w:t xml:space="preserve">3.2. Production Energy Inputs - Core Operations (Scope 1 &amp; 2)</w:t>
      </w:r>
    </w:p>
    <w:p>
      <w:pPr>
        <w:pStyle w:val="FirstParagraph"/>
      </w:pPr>
      <w:r>
        <w:t xml:space="preserve">The energy consumption during the production phase is a critical component of the PCF.</w:t>
      </w:r>
    </w:p>
    <w:p>
      <w:pPr>
        <w:numPr>
          <w:ilvl w:val="0"/>
          <w:numId w:val="1003"/>
        </w:numPr>
        <w:pStyle w:val="Compact"/>
      </w:pPr>
      <w:r>
        <w:rPr>
          <w:bCs/>
          <w:b/>
        </w:rPr>
        <w:t xml:space="preserve">Energy Intensity (kWh/unit):</w:t>
      </w:r>
      <w:r>
        <w:t xml:space="preserve"> </w:t>
      </w:r>
      <w:r>
        <w:t xml:space="preserve">qjkhdjpfjj (interpreted as 10 kWh/unit)</w:t>
      </w:r>
    </w:p>
    <w:p>
      <w:pPr>
        <w:numPr>
          <w:ilvl w:val="0"/>
          <w:numId w:val="1003"/>
        </w:numPr>
        <w:pStyle w:val="Compact"/>
      </w:pPr>
      <w:r>
        <w:rPr>
          <w:bCs/>
          <w:b/>
        </w:rPr>
        <w:t xml:space="preserve">Renewable Energy Usage:</w:t>
      </w:r>
      <w:r>
        <w:t xml:space="preserve"> </w:t>
      </w:r>
      <w:r>
        <w:t xml:space="preserve">mydzjtlnmm (interpreted as 50%)</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Emission Factor for Chinese Grid Electricity:</w:t>
      </w:r>
      <w:r>
        <w:t xml:space="preserve"> </w:t>
      </w:r>
      <w:r>
        <w:t xml:space="preserve">0.6205 kgCO2e/kWh (2023 national average)</w:t>
      </w:r>
    </w:p>
    <w:p>
      <w:pPr>
        <w:pStyle w:val="FirstParagraph"/>
      </w:pPr>
      <w:r>
        <w:t xml:space="preserve">The effective emission factor for electricity consumed by \'vlhtyiuqpe\' is adjusted for renewable energy usage:</w:t>
      </w:r>
      <w:r>
        <w:t xml:space="preserve"> </w:t>
      </w:r>
      <w:r>
        <w:t xml:space="preserve">Effective EF = (1 - mydzjtlnmm) * Chinese Grid EF = (1 - 0.50) * 0.6205 kgCO2e/kWh = 0.31025 kgCO2e/kWh.</w:t>
      </w:r>
    </w:p>
    <w:bookmarkEnd w:id="34"/>
    <w:bookmarkStart w:id="35" w:name="X78b6524983b276d03b638fd711502ed5e7f6064"/>
    <w:p>
      <w:pPr>
        <w:pStyle w:val="Heading3"/>
      </w:pPr>
      <w:r>
        <w:t xml:space="preserve">3.3. Logistics &amp; Transportation - Upstream &amp; Downstream (Scope 3)</w:t>
      </w:r>
    </w:p>
    <w:p>
      <w:pPr>
        <w:pStyle w:val="FirstParagraph"/>
      </w:pPr>
      <w:r>
        <w:t xml:space="preserve">Transportation emissions cover the movement of materials to the factory (upstream) and the finished product to the customer (downstream).</w:t>
      </w:r>
    </w:p>
    <w:p>
      <w:pPr>
        <w:numPr>
          <w:ilvl w:val="0"/>
          <w:numId w:val="1004"/>
        </w:numPr>
        <w:pStyle w:val="Compact"/>
      </w:pPr>
      <w:r>
        <w:rPr>
          <w:bCs/>
          <w:b/>
        </w:rPr>
        <w:t xml:space="preserve">Product Weight (assumed for transport):</w:t>
      </w:r>
      <w:r>
        <w:t xml:space="preserve"> </w:t>
      </w:r>
      <w:r>
        <w:t xml:space="preserve">2.5 kg (0.0025 tonnes)</w:t>
      </w:r>
    </w:p>
    <w:p>
      <w:pPr>
        <w:numPr>
          <w:ilvl w:val="0"/>
          <w:numId w:val="1004"/>
        </w:numPr>
        <w:pStyle w:val="Compact"/>
      </w:pPr>
      <w:r>
        <w:rPr>
          <w:bCs/>
          <w:b/>
        </w:rPr>
        <w:t xml:space="preserve">Primary Transport Mode:</w:t>
      </w:r>
      <w:r>
        <w:t xml:space="preserve"> </w:t>
      </w:r>
      <w:r>
        <w:t xml:space="preserve">Select Mode (interpreted as Ocean Freight for long-haul)</w:t>
      </w:r>
    </w:p>
    <w:p>
      <w:pPr>
        <w:numPr>
          <w:ilvl w:val="0"/>
          <w:numId w:val="1004"/>
        </w:numPr>
        <w:pStyle w:val="Compact"/>
      </w:pPr>
      <w:r>
        <w:rPr>
          <w:bCs/>
          <w:b/>
        </w:rPr>
        <w:t xml:space="preserve">Primary Transport Distance:</w:t>
      </w:r>
      <w:r>
        <w:t xml:space="preserve"> </w:t>
      </w:r>
      <w:r>
        <w:t xml:space="preserve">omtffqxlfi (interpreted as 1500 km)</w:t>
      </w:r>
    </w:p>
    <w:p>
      <w:pPr>
        <w:numPr>
          <w:ilvl w:val="0"/>
          <w:numId w:val="1004"/>
        </w:numPr>
        <w:pStyle w:val="Compact"/>
      </w:pPr>
      <w:r>
        <w:rPr>
          <w:bCs/>
          <w:b/>
        </w:rPr>
        <w:t xml:space="preserve">Primary Transport Emission Factor (Ocean Freight - container ship average):</w:t>
      </w:r>
      <w:r>
        <w:t xml:space="preserve"> </w:t>
      </w:r>
      <w:r>
        <w:t xml:space="preserve">0.016 kgCO2e/tonne-km</w:t>
      </w:r>
    </w:p>
    <w:p>
      <w:pPr>
        <w:numPr>
          <w:ilvl w:val="0"/>
          <w:numId w:val="1004"/>
        </w:numPr>
        <w:pStyle w:val="Compact"/>
      </w:pPr>
      <w:r>
        <w:rPr>
          <w:bCs/>
          <w:b/>
        </w:rPr>
        <w:t xml:space="preserve">Last-Mile Delivery Channel:</w:t>
      </w:r>
      <w:r>
        <w:t xml:space="preserve"> </w:t>
      </w:r>
      <w:r>
        <w:t xml:space="preserve">Delivery Type (interpreted as Road Freight (Heavy Duty) - Standard Parcel Delivery)</w:t>
      </w:r>
    </w:p>
    <w:p>
      <w:pPr>
        <w:numPr>
          <w:ilvl w:val="0"/>
          <w:numId w:val="1004"/>
        </w:numPr>
        <w:pStyle w:val="Compact"/>
      </w:pPr>
      <w:r>
        <w:rPr>
          <w:bCs/>
          <w:b/>
        </w:rPr>
        <w:t xml:space="preserve">Last-Mile Delivery Distance (assumed):</w:t>
      </w:r>
      <w:r>
        <w:t xml:space="preserve"> </w:t>
      </w:r>
      <w:r>
        <w:t xml:space="preserve">100 km (typical for local distribution)</w:t>
      </w:r>
    </w:p>
    <w:p>
      <w:pPr>
        <w:numPr>
          <w:ilvl w:val="0"/>
          <w:numId w:val="1004"/>
        </w:numPr>
        <w:pStyle w:val="Compact"/>
      </w:pPr>
      <w:r>
        <w:rPr>
          <w:bCs/>
          <w:b/>
        </w:rPr>
        <w:t xml:space="preserve">Last-Mile Delivery Emission Factor (Road Freight - Heavy Duty):</w:t>
      </w:r>
      <w:r>
        <w:t xml:space="preserve"> </w:t>
      </w:r>
      <w:r>
        <w:t xml:space="preserve">0.07 kgCO2e/tonne-km</w:t>
      </w:r>
    </w:p>
    <w:bookmarkEnd w:id="35"/>
    <w:bookmarkStart w:id="36" w:name="product-use-phase---downstream-scope-3"/>
    <w:p>
      <w:pPr>
        <w:pStyle w:val="Heading3"/>
      </w:pPr>
      <w:r>
        <w:t xml:space="preserve">3.4. Product Use Phase - Downstream (Scope 3)</w:t>
      </w:r>
    </w:p>
    <w:p>
      <w:pPr>
        <w:pStyle w:val="FirstParagraph"/>
      </w:pPr>
      <w:r>
        <w:t xml:space="preserve">The energy consumed during the product\'s operational lifetime contributes significantly to its overall footprint.</w:t>
      </w:r>
    </w:p>
    <w:p>
      <w:pPr>
        <w:numPr>
          <w:ilvl w:val="0"/>
          <w:numId w:val="1005"/>
        </w:numPr>
        <w:pStyle w:val="Compact"/>
      </w:pPr>
      <w:r>
        <w:rPr>
          <w:bCs/>
          <w:b/>
        </w:rPr>
        <w:t xml:space="preserve">Product Lifespan:</w:t>
      </w:r>
      <w:r>
        <w:t xml:space="preserve"> </w:t>
      </w:r>
      <w:r>
        <w:t xml:space="preserve">gxumzpmxon (interpreted as 5 years)</w:t>
      </w:r>
    </w:p>
    <w:p>
      <w:pPr>
        <w:numPr>
          <w:ilvl w:val="0"/>
          <w:numId w:val="1005"/>
        </w:numPr>
        <w:pStyle w:val="Compact"/>
      </w:pPr>
      <w:r>
        <w:rPr>
          <w:bCs/>
          <w:b/>
        </w:rPr>
        <w:t xml:space="preserve">Energy Consumption in Use:</w:t>
      </w:r>
      <w:r>
        <w:t xml:space="preserve"> </w:t>
      </w:r>
      <w:r>
        <w:t xml:space="preserve">pdkrnvmtvt (interpreted as 20 kWh/year)</w:t>
      </w:r>
    </w:p>
    <w:p>
      <w:pPr>
        <w:numPr>
          <w:ilvl w:val="0"/>
          <w:numId w:val="1005"/>
        </w:numPr>
        <w:pStyle w:val="Compact"/>
      </w:pPr>
      <w:r>
        <w:rPr>
          <w:bCs/>
          <w:b/>
        </w:rPr>
        <w:t xml:space="preserve">Average User Grid Electricity Emission Factor (Europe Focused - assumed blend):</w:t>
      </w:r>
      <w:r>
        <w:t xml:space="preserve"> </w:t>
      </w:r>
      <w:r>
        <w:t xml:space="preserve">For a Europe-focused supply chain, we assume an average European grid mix emission factor of 0.25 kgCO2e/kWh (illustrative for user country).</w:t>
      </w:r>
    </w:p>
    <w:bookmarkEnd w:id="36"/>
    <w:bookmarkStart w:id="37" w:name="Xda511396f1e251a5e32f42becdd2e018c1813c5"/>
    <w:p>
      <w:pPr>
        <w:pStyle w:val="Heading3"/>
      </w:pPr>
      <w:r>
        <w:t xml:space="preserve">3.5. End-of-Life (EoL) Scenarios - Downstream (Scope 3)</w:t>
      </w:r>
    </w:p>
    <w:p>
      <w:pPr>
        <w:pStyle w:val="FirstParagraph"/>
      </w:pPr>
      <w:r>
        <w:t xml:space="preserve">The fate of the product and its components at the end of their life influences the overall PCF, particularly through recycling benefits.</w:t>
      </w:r>
    </w:p>
    <w:p>
      <w:pPr>
        <w:numPr>
          <w:ilvl w:val="0"/>
          <w:numId w:val="1006"/>
        </w:numPr>
        <w:pStyle w:val="Compact"/>
      </w:pPr>
      <w:r>
        <w:rPr>
          <w:bCs/>
          <w:b/>
        </w:rPr>
        <w:t xml:space="preserve">Recyclability Percentage:</w:t>
      </w:r>
      <w:r>
        <w:t xml:space="preserve"> </w:t>
      </w:r>
      <w:r>
        <w:t xml:space="preserve">nijdsssmsz (interpreted as 80%)</w:t>
      </w:r>
    </w:p>
    <w:p>
      <w:pPr>
        <w:numPr>
          <w:ilvl w:val="0"/>
          <w:numId w:val="1006"/>
        </w:numPr>
        <w:pStyle w:val="Compact"/>
      </w:pPr>
      <w:r>
        <w:rPr>
          <w:bCs/>
          <w:b/>
        </w:rPr>
        <w:t xml:space="preserve">Circular/Take-back Programs:</w:t>
      </w:r>
      <w:r>
        <w:t xml:space="preserve"> </w:t>
      </w:r>
      <w:r>
        <w:t xml:space="preserve">swfmgtsyvs (Active consumer take-back program)</w:t>
      </w:r>
    </w:p>
    <w:p>
      <w:pPr>
        <w:numPr>
          <w:ilvl w:val="0"/>
          <w:numId w:val="1006"/>
        </w:numPr>
        <w:pStyle w:val="Compact"/>
      </w:pPr>
      <w:r>
        <w:rPr>
          <w:bCs/>
          <w:b/>
        </w:rPr>
        <w:t xml:space="preserve">Avoided Emissions for Recycled Metal (illustrative):</w:t>
      </w:r>
      <w:r>
        <w:t xml:space="preserve"> </w:t>
      </w:r>
      <w:r>
        <w:t xml:space="preserve">-1.5 kgCO2e/kg (based on average savings compared to virgin production)</w:t>
      </w:r>
    </w:p>
    <w:p>
      <w:pPr>
        <w:numPr>
          <w:ilvl w:val="0"/>
          <w:numId w:val="1006"/>
        </w:numPr>
        <w:pStyle w:val="Compact"/>
      </w:pPr>
      <w:r>
        <w:rPr>
          <w:bCs/>
          <w:b/>
        </w:rPr>
        <w:t xml:space="preserve">Avoided Emissions for Recycled Plastic (illustrative):</w:t>
      </w:r>
      <w:r>
        <w:t xml:space="preserve"> </w:t>
      </w:r>
      <w:r>
        <w:t xml:space="preserve">-2.0 kgCO2e/kg (based on average savings compared to virgin production)</w:t>
      </w:r>
    </w:p>
    <w:p>
      <w:pPr>
        <w:pStyle w:val="FirstParagraph"/>
      </w:pPr>
      <w:r>
        <w:t xml:space="preserve">We assume the "Active consumer take-back program" significantly facilitates achieving the high recyclability percentage. The remaining 20% is assumed to be disposed of (e.g., landfill or incineration with negligible recovery emissions for this high-level assessment).</w:t>
      </w:r>
    </w:p>
    <w:p>
      <w:r>
        <w:pict>
          <v:rect style="width:0;height:1.5pt" o:hralign="center" o:hrstd="t" o:hr="t"/>
        </w:pict>
      </w:r>
    </w:p>
    <w:bookmarkEnd w:id="37"/>
    <w:bookmarkEnd w:id="38"/>
    <w:bookmarkStart w:id="44" w:name="emissions-calculation"/>
    <w:p>
      <w:pPr>
        <w:pStyle w:val="Heading2"/>
      </w:pPr>
      <w:r>
        <w:t xml:space="preserve">4. Emissions Calculation</w:t>
      </w:r>
    </w:p>
    <w:p>
      <w:pPr>
        <w:pStyle w:val="FirstParagraph"/>
      </w:pPr>
      <w:r>
        <w:t xml:space="preserve">The GHG emissions for each lifecycle stage are calculated and categorized by Scope.</w:t>
      </w:r>
    </w:p>
    <w:bookmarkStart w:id="39" w:name="upstream-emissions-scope-3"/>
    <w:p>
      <w:pPr>
        <w:pStyle w:val="Heading3"/>
      </w:pPr>
      <w:r>
        <w:t xml:space="preserve">4.1. Upstream Emissions (Scope 3)</w:t>
      </w:r>
    </w:p>
    <w:p>
      <w:pPr>
        <w:numPr>
          <w:ilvl w:val="0"/>
          <w:numId w:val="1007"/>
        </w:numPr>
        <w:pStyle w:val="Compact"/>
      </w:pPr>
      <w:r>
        <w:rPr>
          <w:bCs/>
          <w:b/>
        </w:rPr>
        <w:t xml:space="preserve">Materials (from BOM):</w:t>
      </w:r>
    </w:p>
    <w:p>
      <w:pPr>
        <w:numPr>
          <w:ilvl w:val="1"/>
          <w:numId w:val="1008"/>
        </w:numPr>
        <w:pStyle w:val="Compact"/>
      </w:pPr>
      <w:r>
        <w:t xml:space="preserve">Total Material Footprint: 18.1 kgCO2e</w:t>
      </w:r>
    </w:p>
    <w:p>
      <w:pPr>
        <w:numPr>
          <w:ilvl w:val="0"/>
          <w:numId w:val="1007"/>
        </w:numPr>
        <w:pStyle w:val="Compact"/>
      </w:pPr>
      <w:r>
        <w:rPr>
          <w:bCs/>
          <w:b/>
        </w:rPr>
        <w:t xml:space="preserve">Upstream Transportation (Materials to Factory - Ocean Freight):</w:t>
      </w:r>
    </w:p>
    <w:p>
      <w:pPr>
        <w:numPr>
          <w:ilvl w:val="1"/>
          <w:numId w:val="1009"/>
        </w:numPr>
        <w:pStyle w:val="Compact"/>
      </w:pPr>
      <w:r>
        <w:t xml:space="preserve">Activity: Product Weight (0.0025 tonnes) * Transport Distance (1500 km) = 3.75 tonne-km</w:t>
      </w:r>
    </w:p>
    <w:p>
      <w:pPr>
        <w:numPr>
          <w:ilvl w:val="1"/>
          <w:numId w:val="1009"/>
        </w:numPr>
        <w:pStyle w:val="Compact"/>
      </w:pPr>
      <w:r>
        <w:t xml:space="preserve">Emissions: 3.75 tonne-km * 0.016 kgCO2e/tonne-km = 0.06 kgCO2e</w:t>
      </w:r>
    </w:p>
    <w:p>
      <w:pPr>
        <w:numPr>
          <w:ilvl w:val="0"/>
          <w:numId w:val="1007"/>
        </w:numPr>
        <w:pStyle w:val="Compact"/>
      </w:pPr>
      <w:r>
        <w:rPr>
          <w:bCs/>
          <w:b/>
        </w:rPr>
        <w:t xml:space="preserve">Subtotal Upstream (Scope 3):</w:t>
      </w:r>
      <w:r>
        <w:t xml:space="preserve"> </w:t>
      </w:r>
      <w:r>
        <w:t xml:space="preserve">18.1 + 0.06 = 18.16 kgCO2e</w:t>
      </w:r>
    </w:p>
    <w:bookmarkEnd w:id="39"/>
    <w:bookmarkStart w:id="40" w:name="core-operations-emissions-scope-1-2"/>
    <w:p>
      <w:pPr>
        <w:pStyle w:val="Heading3"/>
      </w:pPr>
      <w:r>
        <w:t xml:space="preserve">4.2. Core Operations Emissions (Scope 1 &amp; 2)</w:t>
      </w:r>
    </w:p>
    <w:p>
      <w:pPr>
        <w:numPr>
          <w:ilvl w:val="0"/>
          <w:numId w:val="1010"/>
        </w:numPr>
        <w:pStyle w:val="Compact"/>
      </w:pPr>
      <w:r>
        <w:rPr>
          <w:bCs/>
          <w:b/>
        </w:rPr>
        <w:t xml:space="preserve">Manufacturing Energy (Scope 2 - Purchased Electricity):</w:t>
      </w:r>
    </w:p>
    <w:p>
      <w:pPr>
        <w:numPr>
          <w:ilvl w:val="1"/>
          <w:numId w:val="1011"/>
        </w:numPr>
        <w:pStyle w:val="Compact"/>
      </w:pPr>
      <w:r>
        <w:t xml:space="preserve">Activity: Energy Intensity (10 kWh/unit)</w:t>
      </w:r>
    </w:p>
    <w:p>
      <w:pPr>
        <w:numPr>
          <w:ilvl w:val="1"/>
          <w:numId w:val="1011"/>
        </w:numPr>
        <w:pStyle w:val="Compact"/>
      </w:pPr>
      <w:r>
        <w:t xml:space="preserve">Emissions: 10 kWh/unit * 0.31025 kgCO2e/kWh (effective EF) = 3.1025 kgCO2e</w:t>
      </w:r>
    </w:p>
    <w:p>
      <w:pPr>
        <w:numPr>
          <w:ilvl w:val="0"/>
          <w:numId w:val="1010"/>
        </w:numPr>
        <w:pStyle w:val="Compact"/>
      </w:pPr>
      <w:r>
        <w:rPr>
          <w:bCs/>
          <w:b/>
        </w:rPr>
        <w:t xml:space="preserve">Subtotal Core Operations (Scope 2):</w:t>
      </w:r>
      <w:r>
        <w:t xml:space="preserve"> </w:t>
      </w:r>
      <w:r>
        <w:t xml:space="preserve">3.1025 kgCO2e</w:t>
      </w:r>
    </w:p>
    <w:p>
      <w:pPr>
        <w:numPr>
          <w:ilvl w:val="0"/>
          <w:numId w:val="1010"/>
        </w:numPr>
        <w:pStyle w:val="Compact"/>
      </w:pPr>
      <w:r>
        <w:rPr>
          <w:iCs/>
          <w:i/>
        </w:rPr>
        <w:t xml:space="preserve">(Note: No Scope 1 emissions explicitly identified from parameters, assuming manufacturing is primarily electricity-driven.)</w:t>
      </w:r>
    </w:p>
    <w:bookmarkEnd w:id="40"/>
    <w:bookmarkStart w:id="41" w:name="downstream-emissions-scope-3"/>
    <w:p>
      <w:pPr>
        <w:pStyle w:val="Heading3"/>
      </w:pPr>
      <w:r>
        <w:t xml:space="preserve">4.3. Downstream Emissions (Scope 3)</w:t>
      </w:r>
    </w:p>
    <w:p>
      <w:pPr>
        <w:numPr>
          <w:ilvl w:val="0"/>
          <w:numId w:val="1012"/>
        </w:numPr>
        <w:pStyle w:val="Compact"/>
      </w:pPr>
      <w:r>
        <w:rPr>
          <w:bCs/>
          <w:b/>
        </w:rPr>
        <w:t xml:space="preserve">Downstream Transportation (Last-Mile Delivery to Customer - Road Freight):</w:t>
      </w:r>
    </w:p>
    <w:p>
      <w:pPr>
        <w:numPr>
          <w:ilvl w:val="1"/>
          <w:numId w:val="1013"/>
        </w:numPr>
        <w:pStyle w:val="Compact"/>
      </w:pPr>
      <w:r>
        <w:t xml:space="preserve">Activity: Product Weight (0.0025 tonnes) * Last-Mile Distance (100 km) = 0.25 tonne-km</w:t>
      </w:r>
    </w:p>
    <w:p>
      <w:pPr>
        <w:numPr>
          <w:ilvl w:val="1"/>
          <w:numId w:val="1013"/>
        </w:numPr>
        <w:pStyle w:val="Compact"/>
      </w:pPr>
      <w:r>
        <w:t xml:space="preserve">Emissions: 0.25 tonne-km * 0.07 kgCO2e/tonne-km = 0.0175 kgCO2e</w:t>
      </w:r>
    </w:p>
    <w:p>
      <w:pPr>
        <w:numPr>
          <w:ilvl w:val="0"/>
          <w:numId w:val="1012"/>
        </w:numPr>
        <w:pStyle w:val="Compact"/>
      </w:pPr>
      <w:r>
        <w:rPr>
          <w:bCs/>
          <w:b/>
        </w:rPr>
        <w:t xml:space="preserve">Use Phase Emissions:</w:t>
      </w:r>
    </w:p>
    <w:p>
      <w:pPr>
        <w:numPr>
          <w:ilvl w:val="1"/>
          <w:numId w:val="1014"/>
        </w:numPr>
        <w:pStyle w:val="Compact"/>
      </w:pPr>
      <w:r>
        <w:t xml:space="preserve">Total Energy in Use over Lifespan: Energy Consumption (20 kWh/year) * Lifespan (5 years) = 100 kWh</w:t>
      </w:r>
    </w:p>
    <w:p>
      <w:pPr>
        <w:numPr>
          <w:ilvl w:val="1"/>
          <w:numId w:val="1014"/>
        </w:numPr>
        <w:pStyle w:val="Compact"/>
      </w:pPr>
      <w:r>
        <w:t xml:space="preserve">Emissions: 100 kWh * 0.25 kgCO2e/kWh (assumed EU user EF) = 25.0 kgCO2e</w:t>
      </w:r>
    </w:p>
    <w:p>
      <w:pPr>
        <w:numPr>
          <w:ilvl w:val="0"/>
          <w:numId w:val="1012"/>
        </w:numPr>
        <w:pStyle w:val="Compact"/>
      </w:pPr>
      <w:r>
        <w:rPr>
          <w:bCs/>
          <w:b/>
        </w:rPr>
        <w:t xml:space="preserve">End-of-Life (EoL) Emissions/Credits:</w:t>
      </w:r>
    </w:p>
    <w:p>
      <w:pPr>
        <w:numPr>
          <w:ilvl w:val="1"/>
          <w:numId w:val="1015"/>
        </w:numPr>
        <w:pStyle w:val="Compact"/>
      </w:pPr>
      <w:r>
        <w:t xml:space="preserve">Total Material Mass (from BOM Qty, assuming units are kg where appropriate): Assuming total material mass for recycling calculations is ~0.7 kg (0.5 kg Al + 0.2 kg Plastic, ignoring circuit board for simple EoL material recycling assumption).</w:t>
      </w:r>
    </w:p>
    <w:p>
      <w:pPr>
        <w:numPr>
          <w:ilvl w:val="1"/>
          <w:numId w:val="1015"/>
        </w:numPr>
        <w:pStyle w:val="Compact"/>
      </w:pPr>
      <w:r>
        <w:t xml:space="preserve">Recycled Mass: 0.7 kg * 0.80 (Recyclability Percentage) = 0.56 kg</w:t>
      </w:r>
    </w:p>
    <w:p>
      <w:pPr>
        <w:numPr>
          <w:ilvl w:val="1"/>
          <w:numId w:val="1015"/>
        </w:numPr>
        <w:pStyle w:val="Compact"/>
      </w:pPr>
      <w:r>
        <w:t xml:space="preserve">Breakdown for recycled materials: Assume 0.4 kg Metal, 0.16 kg Plastic (illustrative split based on BOM for EoL calculation)</w:t>
      </w:r>
    </w:p>
    <w:p>
      <w:pPr>
        <w:numPr>
          <w:ilvl w:val="1"/>
          <w:numId w:val="1015"/>
        </w:numPr>
        <w:pStyle w:val="Compact"/>
      </w:pPr>
      <w:r>
        <w:t xml:space="preserve">Avoided Emissions (Metal): 0.4 kg * -1.5 kgCO2e/kg = -0.6 kgCO2e</w:t>
      </w:r>
    </w:p>
    <w:p>
      <w:pPr>
        <w:numPr>
          <w:ilvl w:val="1"/>
          <w:numId w:val="1015"/>
        </w:numPr>
        <w:pStyle w:val="Compact"/>
      </w:pPr>
      <w:r>
        <w:t xml:space="preserve">Avoided Emissions (Plastic): 0.16 kg * -2.0 kgCO2e/kg = -0.32 kgCO2e</w:t>
      </w:r>
    </w:p>
    <w:p>
      <w:pPr>
        <w:numPr>
          <w:ilvl w:val="1"/>
          <w:numId w:val="1015"/>
        </w:numPr>
        <w:pStyle w:val="Compact"/>
      </w:pPr>
      <w:r>
        <w:t xml:space="preserve">Total EoL Credits: -0.6 + (-0.32) = -0.92 kgCO2e</w:t>
      </w:r>
    </w:p>
    <w:p>
      <w:pPr>
        <w:numPr>
          <w:ilvl w:val="0"/>
          <w:numId w:val="1012"/>
        </w:numPr>
        <w:pStyle w:val="Compact"/>
      </w:pPr>
      <w:r>
        <w:rPr>
          <w:bCs/>
          <w:b/>
        </w:rPr>
        <w:t xml:space="preserve">Subtotal Downstream (Scope 3):</w:t>
      </w:r>
      <w:r>
        <w:t xml:space="preserve"> </w:t>
      </w:r>
      <w:r>
        <w:t xml:space="preserve">0.0175 + 25.0 - 0.92 = 24.0975 kgCO2e</w:t>
      </w:r>
    </w:p>
    <w:bookmarkEnd w:id="41"/>
    <w:bookmarkStart w:id="42" w:name="X299a3717db401fbc63eac38de0814f3ad8939f4"/>
    <w:p>
      <w:pPr>
        <w:pStyle w:val="Heading3"/>
      </w:pPr>
      <w:r>
        <w:t xml:space="preserve">4.4. Total Product Carbon Footprint (PCF) Summary</w:t>
      </w:r>
    </w:p>
    <w:p>
      <w:pPr>
        <w:pStyle w:val="FirstParagraph"/>
      </w:pPr>
      <w:r>
        <w:t xml:space="preserve">The aggregated Product Carbon Footprint for 1.0 unit of \'xojflpdyuv\' is presented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(Upstream)</w:t>
            </w:r>
          </w:p>
        </w:tc>
        <w:tc>
          <w:tcPr/>
          <w:p>
            <w:pPr>
              <w:pStyle w:val="Compact"/>
              <w:jc w:val="left"/>
            </w:pPr>
            <w:r>
              <w:t xml:space="preserve">Scope 3</w:t>
            </w:r>
          </w:p>
        </w:tc>
        <w:tc>
          <w:tcPr/>
          <w:p>
            <w:pPr>
              <w:pStyle w:val="Compact"/>
              <w:jc w:val="left"/>
            </w:pPr>
            <w:r>
              <w:t xml:space="preserve">18.10</w:t>
            </w:r>
          </w:p>
        </w:tc>
      </w:tr>
      <w:tr>
        <w:tc>
          <w:tcPr/>
          <w:p>
            <w:pPr>
              <w:pStyle w:val="Compact"/>
              <w:jc w:val="left"/>
            </w:pPr>
            <w:r>
              <w:t xml:space="preserve">Upstream Transportation</w:t>
            </w:r>
          </w:p>
        </w:tc>
        <w:tc>
          <w:tcPr/>
          <w:p>
            <w:pPr>
              <w:pStyle w:val="Compact"/>
              <w:jc w:val="left"/>
            </w:pPr>
            <w:r>
              <w:t xml:space="preserve">Scope 3</w:t>
            </w:r>
          </w:p>
        </w:tc>
        <w:tc>
          <w:tcPr/>
          <w:p>
            <w:pPr>
              <w:pStyle w:val="Compact"/>
              <w:jc w:val="left"/>
            </w:pPr>
            <w:r>
              <w:t xml:space="preserve">0.06</w:t>
            </w:r>
          </w:p>
        </w:tc>
      </w:tr>
      <w:tr>
        <w:tc>
          <w:tcPr/>
          <w:p>
            <w:pPr>
              <w:pStyle w:val="Compact"/>
              <w:jc w:val="left"/>
            </w:pPr>
            <w:r>
              <w:rPr>
                <w:bCs/>
                <w:b/>
              </w:rPr>
              <w:t xml:space="preserve">Subtotal Upstream (Scope 3)</w:t>
            </w:r>
          </w:p>
        </w:tc>
        <w:tc>
          <w:tcPr/>
          <w:p>
            <w:pPr>
              <w:pStyle w:val="Compact"/>
            </w:pPr>
          </w:p>
        </w:tc>
        <w:tc>
          <w:tcPr/>
          <w:p>
            <w:pPr>
              <w:pStyle w:val="Compact"/>
              <w:jc w:val="left"/>
            </w:pPr>
            <w:r>
              <w:rPr>
                <w:bCs/>
                <w:b/>
              </w:rPr>
              <w:t xml:space="preserve">18.16</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3.1025</w:t>
            </w:r>
          </w:p>
        </w:tc>
      </w:tr>
      <w:tr>
        <w:tc>
          <w:tcPr/>
          <w:p>
            <w:pPr>
              <w:pStyle w:val="Compact"/>
              <w:jc w:val="left"/>
            </w:pPr>
            <w:r>
              <w:rPr>
                <w:bCs/>
                <w:b/>
              </w:rPr>
              <w:t xml:space="preserve">Subtotal Core Operations (Scope 2)</w:t>
            </w:r>
          </w:p>
        </w:tc>
        <w:tc>
          <w:tcPr/>
          <w:p>
            <w:pPr>
              <w:pStyle w:val="Compact"/>
            </w:pPr>
          </w:p>
        </w:tc>
        <w:tc>
          <w:tcPr/>
          <w:p>
            <w:pPr>
              <w:pStyle w:val="Compact"/>
              <w:jc w:val="left"/>
            </w:pPr>
            <w:r>
              <w:rPr>
                <w:bCs/>
                <w:b/>
              </w:rPr>
              <w:t xml:space="preserve">3.1025</w:t>
            </w:r>
          </w:p>
        </w:tc>
      </w:tr>
      <w:tr>
        <w:tc>
          <w:tcPr/>
          <w:p>
            <w:pPr>
              <w:pStyle w:val="Compact"/>
              <w:jc w:val="left"/>
            </w:pPr>
            <w:r>
              <w:t xml:space="preserve">Downstream Transportation</w:t>
            </w:r>
          </w:p>
        </w:tc>
        <w:tc>
          <w:tcPr/>
          <w:p>
            <w:pPr>
              <w:pStyle w:val="Compact"/>
              <w:jc w:val="left"/>
            </w:pPr>
            <w:r>
              <w:t xml:space="preserve">Scope 3</w:t>
            </w:r>
          </w:p>
        </w:tc>
        <w:tc>
          <w:tcPr/>
          <w:p>
            <w:pPr>
              <w:pStyle w:val="Compact"/>
              <w:jc w:val="left"/>
            </w:pPr>
            <w:r>
              <w:t xml:space="preserve">0.0175</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25.00</w:t>
            </w:r>
          </w:p>
        </w:tc>
      </w:tr>
      <w:tr>
        <w:tc>
          <w:tcPr/>
          <w:p>
            <w:pPr>
              <w:pStyle w:val="Compact"/>
              <w:jc w:val="left"/>
            </w:pPr>
            <w:r>
              <w:t xml:space="preserve">End-of-Life (EoL)</w:t>
            </w:r>
          </w:p>
        </w:tc>
        <w:tc>
          <w:tcPr/>
          <w:p>
            <w:pPr>
              <w:pStyle w:val="Compact"/>
              <w:jc w:val="left"/>
            </w:pPr>
            <w:r>
              <w:t xml:space="preserve">Scope 3</w:t>
            </w:r>
          </w:p>
        </w:tc>
        <w:tc>
          <w:tcPr/>
          <w:p>
            <w:pPr>
              <w:pStyle w:val="Compact"/>
              <w:jc w:val="left"/>
            </w:pPr>
            <w:r>
              <w:t xml:space="preserve">-0.92</w:t>
            </w:r>
          </w:p>
        </w:tc>
      </w:tr>
      <w:tr>
        <w:tc>
          <w:tcPr/>
          <w:p>
            <w:pPr>
              <w:pStyle w:val="Compact"/>
              <w:jc w:val="left"/>
            </w:pPr>
            <w:r>
              <w:rPr>
                <w:bCs/>
                <w:b/>
              </w:rPr>
              <w:t xml:space="preserve">Subtotal Downstream (Scope 3)</w:t>
            </w:r>
          </w:p>
        </w:tc>
        <w:tc>
          <w:tcPr/>
          <w:p>
            <w:pPr>
              <w:pStyle w:val="Compact"/>
            </w:pPr>
          </w:p>
        </w:tc>
        <w:tc>
          <w:tcPr/>
          <w:p>
            <w:pPr>
              <w:pStyle w:val="Compact"/>
              <w:jc w:val="left"/>
            </w:pPr>
            <w:r>
              <w:rPr>
                <w:bCs/>
                <w:b/>
              </w:rPr>
              <w:t xml:space="preserve">24.0975</w:t>
            </w:r>
          </w:p>
        </w:tc>
      </w:tr>
      <w:tr>
        <w:tc>
          <w:tcPr>
            <w:gridSpan w:val="2"/>
          </w:tcPr>
          <w:p>
            <w:pPr>
              <w:pStyle w:val="Compact"/>
              <w:jc w:val="right"/>
            </w:pPr>
            <w:r>
              <w:rPr>
                <w:bCs/>
                <w:b/>
              </w:rPr>
              <w:t xml:space="preserve">Total Product Carbon Footprint (kgCO2e/unit)</w:t>
            </w:r>
          </w:p>
        </w:tc>
        <w:tc>
          <w:tcPr/>
          <w:p>
            <w:pPr>
              <w:pStyle w:val="Compact"/>
              <w:jc w:val="left"/>
            </w:pPr>
            <w:r>
              <w:rPr>
                <w:bCs/>
                <w:b/>
              </w:rPr>
              <w:t xml:space="preserve">45.36</w:t>
            </w:r>
          </w:p>
        </w:tc>
      </w:tr>
    </w:tbl>
    <w:bookmarkEnd w:id="42"/>
    <w:bookmarkStart w:id="43" w:name="hotspot-analysis"/>
    <w:p>
      <w:pPr>
        <w:pStyle w:val="Heading3"/>
      </w:pPr>
      <w:r>
        <w:t xml:space="preserve">4.5. Hotspot Analysis</w:t>
      </w:r>
    </w:p>
    <w:p>
      <w:pPr>
        <w:pStyle w:val="FirstParagraph"/>
      </w:pPr>
      <w:r>
        <w:t xml:space="preserve">The primary emission hotspots for \'xojflpdyuv\' are:</w:t>
      </w:r>
    </w:p>
    <w:p>
      <w:pPr>
        <w:numPr>
          <w:ilvl w:val="0"/>
          <w:numId w:val="1016"/>
        </w:numPr>
        <w:pStyle w:val="Compact"/>
      </w:pPr>
      <w:r>
        <w:rPr>
          <w:bCs/>
          <w:b/>
        </w:rPr>
        <w:t xml:space="preserve">Use Phase (25.0 kgCO2e):</w:t>
      </w:r>
      <w:r>
        <w:t xml:space="preserve"> </w:t>
      </w:r>
      <w:r>
        <w:t xml:space="preserve">This is the most significant contributor, largely due to the energy consumption of the product over its 5-year lifespan.</w:t>
      </w:r>
    </w:p>
    <w:p>
      <w:pPr>
        <w:numPr>
          <w:ilvl w:val="0"/>
          <w:numId w:val="1016"/>
        </w:numPr>
        <w:pStyle w:val="Compact"/>
      </w:pPr>
      <w:r>
        <w:rPr>
          <w:bCs/>
          <w:b/>
        </w:rPr>
        <w:t xml:space="preserve">Material Acquisition (18.1 kgCO2e):</w:t>
      </w:r>
      <w:r>
        <w:t xml:space="preserve"> </w:t>
      </w:r>
      <w:r>
        <w:t xml:space="preserve">The raw materials, particularly the Circuit Board and Aluminum Casing, represent a substantial upstream impact.</w:t>
      </w:r>
    </w:p>
    <w:p>
      <w:pPr>
        <w:numPr>
          <w:ilvl w:val="0"/>
          <w:numId w:val="1016"/>
        </w:numPr>
        <w:pStyle w:val="Compact"/>
      </w:pPr>
      <w:r>
        <w:rPr>
          <w:bCs/>
          <w:b/>
        </w:rPr>
        <w:t xml:space="preserve">Manufacturing Energy (3.1025 kgCO2e):</w:t>
      </w:r>
      <w:r>
        <w:t xml:space="preserve"> </w:t>
      </w:r>
      <w:r>
        <w:t xml:space="preserve">While renewable energy usage helps mitigate this, the intensity of electricity consumption in China still contributes noticeably.</w:t>
      </w:r>
    </w:p>
    <w:p>
      <w:pPr>
        <w:pStyle w:val="FirstParagraph"/>
      </w:pPr>
      <w:r>
        <w:t xml:space="preserve">These hotspots highlight critical areas for \'vlhtyiuqpe\' to focus emission reduction efforts.</w:t>
      </w:r>
    </w:p>
    <w:p>
      <w:r>
        <w:pict>
          <v:rect style="width:0;height:1.5pt" o:hralign="center" o:hrstd="t" o:hr="t"/>
        </w:pict>
      </w:r>
    </w:p>
    <w:bookmarkEnd w:id="43"/>
    <w:bookmarkEnd w:id="44"/>
    <w:bookmarkStart w:id="48" w:name="review-reporting"/>
    <w:p>
      <w:pPr>
        <w:pStyle w:val="Heading2"/>
      </w:pPr>
      <w:r>
        <w:t xml:space="preserve">5. Review &amp; Reporting</w:t>
      </w:r>
    </w:p>
    <w:bookmarkStart w:id="45" w:name="key-findings"/>
    <w:p>
      <w:pPr>
        <w:pStyle w:val="Heading3"/>
      </w:pPr>
      <w:r>
        <w:t xml:space="preserve">5.1. Key Findings</w:t>
      </w:r>
    </w:p>
    <w:p>
      <w:pPr>
        <w:numPr>
          <w:ilvl w:val="0"/>
          <w:numId w:val="1017"/>
        </w:numPr>
        <w:pStyle w:val="Compact"/>
      </w:pPr>
      <w:r>
        <w:t xml:space="preserve">The total Product Carbon Footprint for one unit of \'xojflpdyuv\' is approximately</w:t>
      </w:r>
      <w:r>
        <w:t xml:space="preserve"> </w:t>
      </w:r>
      <w:r>
        <w:rPr>
          <w:bCs/>
          <w:b/>
        </w:rPr>
        <w:t xml:space="preserve">45.36 kgCO2e</w:t>
      </w:r>
      <w:r>
        <w:t xml:space="preserve">.</w:t>
      </w:r>
    </w:p>
    <w:p>
      <w:pPr>
        <w:numPr>
          <w:ilvl w:val="0"/>
          <w:numId w:val="1017"/>
        </w:numPr>
        <w:pStyle w:val="Compact"/>
      </w:pPr>
      <w:r>
        <w:t xml:space="preserve">The</w:t>
      </w:r>
      <w:r>
        <w:t xml:space="preserve"> </w:t>
      </w:r>
      <w:r>
        <w:rPr>
          <w:bCs/>
          <w:b/>
        </w:rPr>
        <w:t xml:space="preserve">Use Phase</w:t>
      </w:r>
      <w:r>
        <w:t xml:space="preserve"> </w:t>
      </w:r>
      <w:r>
        <w:t xml:space="preserve">accounts for the largest share of emissions (55.1%), emphasizing the importance of energy efficiency during product operation.</w:t>
      </w:r>
    </w:p>
    <w:p>
      <w:pPr>
        <w:numPr>
          <w:ilvl w:val="0"/>
          <w:numId w:val="1017"/>
        </w:numPr>
        <w:pStyle w:val="Compact"/>
      </w:pPr>
      <w:r>
        <w:rPr>
          <w:bCs/>
          <w:b/>
        </w:rPr>
        <w:t xml:space="preserve">Material Acquisition</w:t>
      </w:r>
      <w:r>
        <w:t xml:space="preserve"> </w:t>
      </w:r>
      <w:r>
        <w:t xml:space="preserve">is the second largest contributor (39.9%), indicating that sustainable sourcing and material selection are crucial.</w:t>
      </w:r>
    </w:p>
    <w:p>
      <w:pPr>
        <w:numPr>
          <w:ilvl w:val="0"/>
          <w:numId w:val="1017"/>
        </w:numPr>
        <w:pStyle w:val="Compact"/>
      </w:pPr>
      <w:r>
        <w:t xml:space="preserve">The active \'swfmgtsyvs\' (Active consumer take-back program) and high recyclability percentage (`nijdsssmsz`: 80%) result in a significant emission credit at End-of-Life, demonstrating the positive impact of circular economy initiatives.</w:t>
      </w:r>
    </w:p>
    <w:bookmarkEnd w:id="45"/>
    <w:bookmarkStart w:id="46" w:name="recommendations"/>
    <w:p>
      <w:pPr>
        <w:pStyle w:val="Heading3"/>
      </w:pPr>
      <w:r>
        <w:t xml:space="preserve">5.2. Recommendations</w:t>
      </w:r>
    </w:p>
    <w:p>
      <w:pPr>
        <w:numPr>
          <w:ilvl w:val="0"/>
          <w:numId w:val="1018"/>
        </w:numPr>
        <w:pStyle w:val="Compact"/>
      </w:pPr>
      <w:r>
        <w:rPr>
          <w:bCs/>
          <w:b/>
        </w:rPr>
        <w:t xml:space="preserve">Optimize Use Phase Efficiency:</w:t>
      </w:r>
      <w:r>
        <w:t xml:space="preserve"> </w:t>
      </w:r>
      <w:r>
        <w:t xml:space="preserve">Invest in R&amp;D to reduce the product\'s energy consumption during its lifespan (`pdkrnvmtvt`), or explore alternative energy sources for users.</w:t>
      </w:r>
    </w:p>
    <w:p>
      <w:pPr>
        <w:numPr>
          <w:ilvl w:val="0"/>
          <w:numId w:val="1018"/>
        </w:numPr>
        <w:pStyle w:val="Compact"/>
      </w:pPr>
      <w:r>
        <w:rPr>
          <w:bCs/>
          <w:b/>
        </w:rPr>
        <w:t xml:space="preserve">Sustainable Material Sourcing:</w:t>
      </w:r>
      <w:r>
        <w:t xml:space="preserve"> </w:t>
      </w:r>
      <w:r>
        <w:t xml:space="preserve">Investigate opportunities for lower-carbon alternatives for key BOM items, particularly for materials in the \'Metal\' and \'Electronics\' categories. Engage with suppliers to collect primary emission data for further accuracy.</w:t>
      </w:r>
    </w:p>
    <w:p>
      <w:pPr>
        <w:numPr>
          <w:ilvl w:val="0"/>
          <w:numId w:val="1018"/>
        </w:numPr>
        <w:pStyle w:val="Compact"/>
      </w:pPr>
      <w:r>
        <w:rPr>
          <w:bCs/>
          <w:b/>
        </w:rPr>
        <w:t xml:space="preserve">Enhance Renewable Energy Adoption:</w:t>
      </w:r>
      <w:r>
        <w:t xml:space="preserve"> </w:t>
      </w:r>
      <w:r>
        <w:t xml:space="preserve">While 50% renewable energy is commendable, increasing this percentage (`mydzjtlnmm`) at manufacturing facilities in China would further reduce Scope 2 emissions.</w:t>
      </w:r>
    </w:p>
    <w:p>
      <w:pPr>
        <w:numPr>
          <w:ilvl w:val="0"/>
          <w:numId w:val="1018"/>
        </w:numPr>
        <w:pStyle w:val="Compact"/>
      </w:pPr>
      <w:r>
        <w:rPr>
          <w:bCs/>
          <w:b/>
        </w:rPr>
        <w:t xml:space="preserve">Strengthen Circular Economy:</w:t>
      </w:r>
      <w:r>
        <w:t xml:space="preserve"> </w:t>
      </w:r>
      <w:r>
        <w:t xml:space="preserve">Continue and expand the \'swfmgtsyvs\' (Active consumer take-back program) to maximize the actual recycling rates and explore upcycling opportunities beyond the 80% recyclability (`nijdsssmsz`).</w:t>
      </w:r>
    </w:p>
    <w:p>
      <w:pPr>
        <w:numPr>
          <w:ilvl w:val="0"/>
          <w:numId w:val="1018"/>
        </w:numPr>
        <w:pStyle w:val="Compact"/>
      </w:pPr>
      <w:r>
        <w:rPr>
          <w:bCs/>
          <w:b/>
        </w:rPr>
        <w:t xml:space="preserve">Granular Data Collection:</w:t>
      </w:r>
      <w:r>
        <w:t xml:space="preserve"> </w:t>
      </w:r>
      <w:r>
        <w:t xml:space="preserve">Implement systems for collecting more specific primary data for transport (actual weights, modes, distances for each leg), and for the energy mix of downstream users where possible.</w:t>
      </w:r>
    </w:p>
    <w:bookmarkEnd w:id="46"/>
    <w:bookmarkStart w:id="47" w:name="limitations-and-data-quality"/>
    <w:p>
      <w:pPr>
        <w:pStyle w:val="Heading3"/>
      </w:pPr>
      <w:r>
        <w:t xml:space="preserve">5.3. Limitations and Data Quality</w:t>
      </w:r>
    </w:p>
    <w:p>
      <w:pPr>
        <w:pStyle w:val="FirstParagraph"/>
      </w:pPr>
      <w:r>
        <w:t xml:space="preserve">This report relies on a combination of provided specific parameters and industry-average emission factors. Key limitations include:</w:t>
      </w:r>
    </w:p>
    <w:p>
      <w:pPr>
        <w:numPr>
          <w:ilvl w:val="0"/>
          <w:numId w:val="1019"/>
        </w:numPr>
        <w:pStyle w:val="Compact"/>
      </w:pPr>
      <w:r>
        <w:rPr>
          <w:bCs/>
          <w:b/>
        </w:rPr>
        <w:t xml:space="preserve">Illustrative BOM Data:</w:t>
      </w:r>
      <w:r>
        <w:t xml:space="preserve"> </w:t>
      </w:r>
      <w:r>
        <w:t xml:space="preserve">The detailed Bill of Materials was provided as a string placeholder; therefore, illustrative data was generated based on the specified format. Actual primary BOM data would enhance accuracy.</w:t>
      </w:r>
    </w:p>
    <w:p>
      <w:pPr>
        <w:numPr>
          <w:ilvl w:val="0"/>
          <w:numId w:val="1019"/>
        </w:numPr>
        <w:pStyle w:val="Compact"/>
      </w:pPr>
      <w:r>
        <w:rPr>
          <w:bCs/>
          <w:b/>
        </w:rPr>
        <w:t xml:space="preserve">Assumed Product Weight:</w:t>
      </w:r>
      <w:r>
        <w:t xml:space="preserve"> </w:t>
      </w:r>
      <w:r>
        <w:t xml:space="preserve">A generic product weight (2.5 kg) was assumed for transport calculations due to lack of specific parameter.</w:t>
      </w:r>
    </w:p>
    <w:p>
      <w:pPr>
        <w:numPr>
          <w:ilvl w:val="0"/>
          <w:numId w:val="1019"/>
        </w:numPr>
        <w:pStyle w:val="Compact"/>
      </w:pPr>
      <w:r>
        <w:rPr>
          <w:bCs/>
          <w:b/>
        </w:rPr>
        <w:t xml:space="preserve">Generic Emission Factors:</w:t>
      </w:r>
      <w:r>
        <w:t xml:space="preserve"> </w:t>
      </w:r>
      <w:r>
        <w:t xml:space="preserve">Industry-average emission factors from sources like DEFRA, GLEC, and UNECE were used for transportation, general electricity, and end-of-life processes, as specific supplier-provided emission factors were not available. These are representative but may not perfectly reflect specific operational nuances.</w:t>
      </w:r>
    </w:p>
    <w:p>
      <w:pPr>
        <w:numPr>
          <w:ilvl w:val="0"/>
          <w:numId w:val="1019"/>
        </w:numPr>
        <w:pStyle w:val="Compact"/>
      </w:pPr>
      <w:r>
        <w:rPr>
          <w:bCs/>
          <w:b/>
        </w:rPr>
        <w:t xml:space="preserve">Simplified EoL Allocation:</w:t>
      </w:r>
      <w:r>
        <w:t xml:space="preserve"> </w:t>
      </w:r>
      <w:r>
        <w:t xml:space="preserve">End-of-Life calculations for recycling benefits are based on general avoided emissions factors for metal and plastic, and a simplified material mass allocation, due to lack of specific composition breakdown for each BOM item at EoL.</w:t>
      </w:r>
    </w:p>
    <w:p>
      <w:pPr>
        <w:numPr>
          <w:ilvl w:val="0"/>
          <w:numId w:val="1019"/>
        </w:numPr>
        <w:pStyle w:val="Compact"/>
      </w:pPr>
      <w:r>
        <w:rPr>
          <w:bCs/>
          <w:b/>
        </w:rPr>
        <w:t xml:space="preserve">LSR Standard:</w:t>
      </w:r>
      <w:r>
        <w:t xml:space="preserve"> </w:t>
      </w:r>
      <w:r>
        <w:t xml:space="preserve">While conceptually integrated, precise quantification of land-use change and removals would require specific agricultural/forestry data related to raw material extraction.</w:t>
      </w:r>
    </w:p>
    <w:p>
      <w:pPr>
        <w:numPr>
          <w:ilvl w:val="0"/>
          <w:numId w:val="1019"/>
        </w:numPr>
        <w:pStyle w:val="Compact"/>
      </w:pPr>
      <w:r>
        <w:rPr>
          <w:bCs/>
          <w:b/>
        </w:rPr>
        <w:t xml:space="preserve">Scope 3 Data Completeness:</w:t>
      </w:r>
      <w:r>
        <w:t xml:space="preserve"> </w:t>
      </w:r>
      <w:r>
        <w:t xml:space="preserve">Although aiming for 95% Scope 3 coverage, minor Scope 3 categories may not be fully quantified due to data availability limitations.</w:t>
      </w:r>
    </w:p>
    <w:p>
      <w:r>
        <w:pict>
          <v:rect style="width:0;height:1.5pt" o:hralign="center" o:hrstd="t" o:hr="t"/>
        </w:pict>
      </w:r>
    </w:p>
    <w:bookmarkEnd w:id="47"/>
    <w:bookmarkEnd w:id="48"/>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xojflpdyuv</dc:title>
  <dc:creator/>
  <dc:description>Detailed Product Carbon Footprint (PCF) analysis report for product xojflpdyuv by vlhtyiuqpe, specializing in GHG Protocol.</dc:description>
  <dc:language>en</dc:language>
  <cp:keywords/>
  <dcterms:created xsi:type="dcterms:W3CDTF">2026-05-30T15:59:37Z</dcterms:created>
  <dcterms:modified xsi:type="dcterms:W3CDTF">2026-05-30T15:59:37Z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