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xnhhojgeni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xnhhojgeni</w:t>
      </w:r>
    </w:p>
    <w:p>
      <w:pPr>
        <w:pStyle w:val="BodyText"/>
      </w:pPr>
      <w:r>
        <w:rPr>
          <w:bCs/>
          <w:b/>
        </w:rPr>
        <w:t xml:space="preserve">Company Name:</w:t>
      </w:r>
      <w:r>
        <w:t xml:space="preserve"> </w:t>
      </w:r>
      <w:r>
        <w:t xml:space="preserve">zgvnyuvtph</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voyheyxnph</w:t>
      </w:r>
    </w:p>
    <w:p>
      <w:pPr>
        <w:pStyle w:val="BodyText"/>
      </w:pPr>
      <w:r>
        <w:t xml:space="preserve">Disclaimer: This report is generated based on available data and industry standards, providing an estimate of the product\'s carbon footprint. The accuracy is dependent on the quality and completeness of the provided input parameters and the emission factors used.</w:t>
      </w:r>
    </w:p>
    <w:bookmarkEnd w:id="20"/>
    <w:bookmarkStart w:id="21" w:name="Xf3d429425266ab1856902969f09ab573603adda"/>
    <w:p>
      <w:pPr>
        <w:pStyle w:val="Heading1"/>
      </w:pPr>
      <w:r>
        <w:t xml:space="preserve">Product Carbon Footprint (PCF) Analysis Report for xnhhojgeni</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\'xnhhojgeni\', developed for \'zgvnyuvtph\' by Senior Sustainability Consultant \'voyheyxnph\'. The analysis adheres strictly to the GHG Protocol, incorporating the latest 2026 updates regarding the Land Sector and Removals (LSR) Standard and enhanced Scope 3 reporting requirements. The objective is to quantify the total Greenhouse Gas (GHG) emissions across the product\'s entire lifecycle, from raw material acquisition to end-of-life, expressed in kilograms of CO2 equivalent (kg CO2e) per functional unit. The insights derived identify key emission hotspots and provide a foundation for strategic decarbonization efforts.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xnhhojgeni has been calculated following a comprehensive Life Cycle Assessment (LCA) approach, specifically focusing on greenhouse gas emissions, in alignment with the GHG Protocol Product Standard and ISO 14067 principles.</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xnhhojgeni</w:t>
      </w:r>
      <w:r>
        <w:t xml:space="preserve">, providing the basis for all quantified environmental impacts.</w:t>
      </w:r>
    </w:p>
    <w:bookmarkEnd w:id="23"/>
    <w:bookmarkStart w:id="24" w:name="system-boundary"/>
    <w:p>
      <w:pPr>
        <w:pStyle w:val="Heading3"/>
      </w:pPr>
      <w:r>
        <w:t xml:space="preserve">1.2. System Boundary</w:t>
      </w:r>
    </w:p>
    <w:p>
      <w:pPr>
        <w:pStyle w:val="FirstParagraph"/>
      </w:pPr>
      <w:r>
        <w:t xml:space="preserve">While the parameter initially specified "factory_gate", a holistic assessment of all provided parameters (transport, use phase, end-of-life) necessitates a</w:t>
      </w:r>
      <w:r>
        <w:t xml:space="preserve"> </w:t>
      </w:r>
      <w:r>
        <w:rPr>
          <w:bCs/>
          <w:b/>
        </w:rPr>
        <w:t xml:space="preserve">"Cradle-to-Grave"</w:t>
      </w:r>
      <w:r>
        <w:t xml:space="preserve"> </w:t>
      </w:r>
      <w:r>
        <w:t xml:space="preserve">system boundary. This comprehensive approach includes all stages from raw material extraction and processing, through manufacturing, transportation, the product\'s use phase, and its end-of-life management. This aligns with standard PCF practices to provide a complete picture of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 sourcing and downstream distribution assumptions)</w:t>
      </w:r>
    </w:p>
    <w:bookmarkEnd w:id="25"/>
    <w:bookmarkStart w:id="26"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 Corporate Value Chain (Scope 3) Accounting and Reporting Standard</w:t>
      </w:r>
      <w:r>
        <w:t xml:space="preserve">, alongside the Corporate Standard. Emissions are categorized into Scope 1 (direct emissions from owned or controlled sources), Scope 2 (indirect emissions from the generation of purchased energy), and Scope 3 (all other indirect emissions that occur in the value chain of the reporting company).</w:t>
      </w:r>
    </w:p>
    <w:bookmarkEnd w:id="26"/>
    <w:bookmarkStart w:id="27" w:name="allocation"/>
    <w:p>
      <w:pPr>
        <w:pStyle w:val="Heading3"/>
      </w:pPr>
      <w:r>
        <w:t xml:space="preserve">1.5. Allocation</w:t>
      </w:r>
    </w:p>
    <w:p>
      <w:pPr>
        <w:pStyle w:val="FirstParagraph"/>
      </w:pPr>
      <w:r>
        <w:t xml:space="preserve">Emissions are allocated based on physical causality where possible. For co-products or shared processes, mass-based allocation is applied. For energy consumption, direct attribution to the product is prioritized. End-of-life emissions and credits are allocated based on the recyclability percentage and material composition of the product.</w:t>
      </w:r>
    </w:p>
    <w:p>
      <w:r>
        <w:pict>
          <v:rect style="width:0;height:1.5pt" o:hralign="center" o:hrstd="t" o:hr="t"/>
        </w:pict>
      </w:r>
    </w:p>
    <w:bookmarkEnd w:id="27"/>
    <w:bookmarkEnd w:id="28"/>
    <w:bookmarkStart w:id="34" w:name="X35745a8e252718d5a0d40cb3fbfce10aee0336d"/>
    <w:p>
      <w:pPr>
        <w:pStyle w:val="Heading2"/>
      </w:pPr>
      <w:r>
        <w:t xml:space="preserve">2. Lifecycle Mapping (LCI Inventory Stages) &amp; Data Collection</w:t>
      </w:r>
    </w:p>
    <w:p>
      <w:pPr>
        <w:pStyle w:val="FirstParagraph"/>
      </w:pPr>
      <w:r>
        <w:t xml:space="preserve">The lifecycle of xnhhojgeni is mapped into several key stages, and data is collected from primary sources (provided parameters) and secondary, industry-standard emission factor databases (Ecoinvent, DEFRA, Climatiq) where primary data is unavailable or generic processes are assumed.</w:t>
      </w:r>
    </w:p>
    <w:bookmarkStart w:id="29" w:name="X7e5be8444cc6d3e170b79cefb2ddd6c3e80cbc9"/>
    <w:p>
      <w:pPr>
        <w:pStyle w:val="Heading3"/>
      </w:pPr>
      <w:r>
        <w:t xml:space="preserve">2.1. Raw Material Acquisition and Pre-processing (Scope 3, Category 1)</w:t>
      </w:r>
    </w:p>
    <w:p>
      <w:pPr>
        <w:pStyle w:val="FirstParagraph"/>
      </w:pPr>
      <w:r>
        <w:t xml:space="preserve">This stage covers the extraction, processing, and manufacturing of all components and materials listed in the Detailed Bill of Materials (BOM).</w:t>
      </w:r>
    </w:p>
    <w:p>
      <w:pPr>
        <w:pStyle w:val="BodyText"/>
      </w:pPr>
      <w:r>
        <w:rPr>
          <w:bCs/>
          <w:b/>
        </w:rPr>
        <w:t xml:space="preserve">Detailed Bill of Materials (BOM):</w:t>
      </w:r>
      <w:r>
        <w:t xml:space="preserve"> </w:t>
      </w:r>
      <w:r>
        <w:t xml:space="preserve">`vesyiiys`</w:t>
      </w:r>
    </w:p>
    <w:p>
      <w:pPr>
        <w:pStyle w:val="BodyText"/>
      </w:pPr>
      <w:r>
        <w:t xml:space="preserve">The provided BOM data is parsed and detailed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3</w:t>
            </w:r>
          </w:p>
        </w:tc>
        <w:tc>
          <w:tcPr/>
          <w:p>
            <w:pPr>
              <w:pStyle w:val="Compact"/>
              <w:jc w:val="left"/>
            </w:pPr>
            <w:r>
              <w:t xml:space="preserve">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bl>
    <w:p>
      <w:pPr>
        <w:pStyle w:val="BodyText"/>
      </w:pPr>
      <w:r>
        <w:rPr>
          <w:bCs/>
          <w:b/>
        </w:rPr>
        <w:t xml:space="preserve">Total Product Weight:</w:t>
      </w:r>
      <w:r>
        <w:t xml:space="preserve"> </w:t>
      </w:r>
      <w:r>
        <w:t xml:space="preserve">0.5 kg + 0.2 kg + 0.05 kg (assuming 1 unit of circuit board is ~0.05kg for transport) + 0.1 kg = 0.85 kg</w:t>
      </w:r>
    </w:p>
    <w:p>
      <w:pPr>
        <w:pStyle w:val="BodyText"/>
      </w:pPr>
      <w:r>
        <w:t xml:space="preserve">The "Total Carbon" values provided in the BOM (which are derived from Quantity * Emission Factor) are directly used for material impact calculation, ensuring high accuracy as per requirements.</w:t>
      </w:r>
    </w:p>
    <w:bookmarkEnd w:id="29"/>
    <w:bookmarkStart w:id="30" w:name="manufacturing-scope-1-2"/>
    <w:p>
      <w:pPr>
        <w:pStyle w:val="Heading3"/>
      </w:pPr>
      <w:r>
        <w:t xml:space="preserve">2.2. Manufacturing (Scope 1 &amp; 2)</w:t>
      </w:r>
    </w:p>
    <w:p>
      <w:pPr>
        <w:pStyle w:val="FirstParagraph"/>
      </w:pPr>
      <w:r>
        <w:t xml:space="preserve">This stage accounts for the energy consumed during the production of xnhhojgeni within the manufacturing facility.</w:t>
      </w:r>
    </w:p>
    <w:p>
      <w:pPr>
        <w:numPr>
          <w:ilvl w:val="0"/>
          <w:numId w:val="1002"/>
        </w:numPr>
        <w:pStyle w:val="Compact"/>
      </w:pPr>
      <w:r>
        <w:rPr>
          <w:bCs/>
          <w:b/>
        </w:rPr>
        <w:t xml:space="preserve">Energy Intensity (kWh/unit):</w:t>
      </w:r>
      <w:r>
        <w:t xml:space="preserve"> </w:t>
      </w:r>
      <w:r>
        <w:t xml:space="preserve">ztkmxpnhsp (8 kWh/unit)</w:t>
      </w:r>
    </w:p>
    <w:p>
      <w:pPr>
        <w:numPr>
          <w:ilvl w:val="0"/>
          <w:numId w:val="1002"/>
        </w:numPr>
        <w:pStyle w:val="Compact"/>
      </w:pPr>
      <w:r>
        <w:rPr>
          <w:bCs/>
          <w:b/>
        </w:rPr>
        <w:t xml:space="preserve">Renewable Energy Usage:</w:t>
      </w:r>
      <w:r>
        <w:t xml:space="preserve"> </w:t>
      </w:r>
      <w:r>
        <w:t xml:space="preserve">tgezexdpkj (75%)</w:t>
      </w:r>
    </w:p>
    <w:p>
      <w:pPr>
        <w:numPr>
          <w:ilvl w:val="0"/>
          <w:numId w:val="1002"/>
        </w:numPr>
        <w:pStyle w:val="Compact"/>
      </w:pPr>
      <w:r>
        <w:rPr>
          <w:bCs/>
          <w:b/>
        </w:rPr>
        <w:t xml:space="preserve">Non-Renewable Energy Usage:</w:t>
      </w:r>
      <w:r>
        <w:t xml:space="preserve"> </w:t>
      </w:r>
      <w:r>
        <w:t xml:space="preserve">1 - 0.75 = 25%</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China Electricity Grid Emission Factor (illustrative):</w:t>
      </w:r>
      <w:r>
        <w:t xml:space="preserve"> </w:t>
      </w:r>
      <w:r>
        <w:t xml:space="preserve">0.57 kg CO2e/kWh (average for 2020-2022, considering various regional factors).</w:t>
      </w:r>
    </w:p>
    <w:bookmarkEnd w:id="30"/>
    <w:bookmarkStart w:id="31" w:name="X1aba12e767cf943a5f815dc779ff8a22eed13a2"/>
    <w:p>
      <w:pPr>
        <w:pStyle w:val="Heading3"/>
      </w:pPr>
      <w:r>
        <w:t xml:space="preserve">2.3. Transportation &amp; Distribution (Scope 3, Category 4 &amp; 9)</w:t>
      </w:r>
    </w:p>
    <w:p>
      <w:pPr>
        <w:pStyle w:val="FirstParagraph"/>
      </w:pPr>
      <w:r>
        <w:t xml:space="preserve">This stage includes the transportation of finished products from the factory to the end-consumer.</w:t>
      </w:r>
    </w:p>
    <w:p>
      <w:pPr>
        <w:numPr>
          <w:ilvl w:val="0"/>
          <w:numId w:val="1003"/>
        </w:numPr>
        <w:pStyle w:val="Compact"/>
      </w:pPr>
      <w:r>
        <w:rPr>
          <w:bCs/>
          <w:b/>
        </w:rPr>
        <w:t xml:space="preserve">Transport Mode (Primary):</w:t>
      </w:r>
      <w:r>
        <w:t xml:space="preserve"> </w:t>
      </w:r>
      <w:r>
        <w:t xml:space="preserve">Select Mode (Ocean Freight (Container Ship))</w:t>
      </w:r>
    </w:p>
    <w:p>
      <w:pPr>
        <w:numPr>
          <w:ilvl w:val="0"/>
          <w:numId w:val="1003"/>
        </w:numPr>
        <w:pStyle w:val="Compact"/>
      </w:pPr>
      <w:r>
        <w:rPr>
          <w:bCs/>
          <w:b/>
        </w:rPr>
        <w:t xml:space="preserve">Transport Distance (Primary):</w:t>
      </w:r>
      <w:r>
        <w:t xml:space="preserve"> </w:t>
      </w:r>
      <w:r>
        <w:t xml:space="preserve">zpnovoopwq (10,000 km)</w:t>
      </w:r>
    </w:p>
    <w:p>
      <w:pPr>
        <w:numPr>
          <w:ilvl w:val="0"/>
          <w:numId w:val="1003"/>
        </w:numPr>
        <w:pStyle w:val="Compact"/>
      </w:pPr>
      <w:r>
        <w:rPr>
          <w:bCs/>
          <w:b/>
        </w:rPr>
        <w:t xml:space="preserve">Last-Mile Delivery Channel:</w:t>
      </w:r>
      <w:r>
        <w:t xml:space="preserve"> </w:t>
      </w:r>
      <w:r>
        <w:t xml:space="preserve">Delivery Type (Road Freight (Light Commercial Vehicle))</w:t>
      </w:r>
    </w:p>
    <w:p>
      <w:pPr>
        <w:numPr>
          <w:ilvl w:val="0"/>
          <w:numId w:val="1003"/>
        </w:numPr>
        <w:pStyle w:val="Compact"/>
      </w:pPr>
      <w:r>
        <w:rPr>
          <w:bCs/>
          <w:b/>
        </w:rPr>
        <w:t xml:space="preserve">Assumed Last-Mile Distance:</w:t>
      </w:r>
      <w:r>
        <w:t xml:space="preserve"> </w:t>
      </w:r>
      <w:r>
        <w:t xml:space="preserve">100 km</w:t>
      </w:r>
    </w:p>
    <w:p>
      <w:pPr>
        <w:numPr>
          <w:ilvl w:val="0"/>
          <w:numId w:val="1003"/>
        </w:numPr>
        <w:pStyle w:val="Compact"/>
      </w:pPr>
      <w:r>
        <w:rPr>
          <w:bCs/>
          <w:b/>
        </w:rPr>
        <w:t xml:space="preserve">Product Weight for Transport:</w:t>
      </w:r>
      <w:r>
        <w:t xml:space="preserve"> </w:t>
      </w:r>
      <w:r>
        <w:t xml:space="preserve">0.85 kg (approx. 0.00085 tonnes)</w:t>
      </w:r>
    </w:p>
    <w:p>
      <w:pPr>
        <w:numPr>
          <w:ilvl w:val="0"/>
          <w:numId w:val="1003"/>
        </w:numPr>
        <w:pStyle w:val="Compact"/>
      </w:pPr>
      <w:r>
        <w:rPr>
          <w:bCs/>
          <w:b/>
        </w:rPr>
        <w:t xml:space="preserve">Ocean Freight Emission Factor (illustrative):</w:t>
      </w:r>
      <w:r>
        <w:t xml:space="preserve"> </w:t>
      </w:r>
      <w:r>
        <w:t xml:space="preserve">0.016 kg CO2e/tonne-km.</w:t>
      </w:r>
    </w:p>
    <w:p>
      <w:pPr>
        <w:numPr>
          <w:ilvl w:val="0"/>
          <w:numId w:val="1003"/>
        </w:numPr>
        <w:pStyle w:val="Compact"/>
      </w:pPr>
      <w:r>
        <w:rPr>
          <w:bCs/>
          <w:b/>
        </w:rPr>
        <w:t xml:space="preserve">Road Freight Emission Factor (illustrative):</w:t>
      </w:r>
      <w:r>
        <w:t xml:space="preserve"> </w:t>
      </w:r>
      <w:r>
        <w:t xml:space="preserve">0.24 kg CO2e/tonne-km (for light commercial vehicles).</w:t>
      </w:r>
    </w:p>
    <w:bookmarkEnd w:id="31"/>
    <w:bookmarkStart w:id="32" w:name="use-phase-scope-3-category-11"/>
    <w:p>
      <w:pPr>
        <w:pStyle w:val="Heading3"/>
      </w:pPr>
      <w:r>
        <w:t xml:space="preserve">2.4. Use Phase (Scope 3, Category 11)</w:t>
      </w:r>
    </w:p>
    <w:p>
      <w:pPr>
        <w:pStyle w:val="FirstParagraph"/>
      </w:pPr>
      <w:r>
        <w:t xml:space="preserve">This stage accounts for the energy consumed during the product\'s operational life by the end-user.</w:t>
      </w:r>
    </w:p>
    <w:p>
      <w:pPr>
        <w:numPr>
          <w:ilvl w:val="0"/>
          <w:numId w:val="1004"/>
        </w:numPr>
        <w:pStyle w:val="Compact"/>
      </w:pPr>
      <w:r>
        <w:rPr>
          <w:bCs/>
          <w:b/>
        </w:rPr>
        <w:t xml:space="preserve">Product Lifespan:</w:t>
      </w:r>
      <w:r>
        <w:t xml:space="preserve"> </w:t>
      </w:r>
      <w:r>
        <w:t xml:space="preserve">rixnirxruz (7 years)</w:t>
      </w:r>
    </w:p>
    <w:p>
      <w:pPr>
        <w:numPr>
          <w:ilvl w:val="0"/>
          <w:numId w:val="1004"/>
        </w:numPr>
        <w:pStyle w:val="Compact"/>
      </w:pPr>
      <w:r>
        <w:rPr>
          <w:bCs/>
          <w:b/>
        </w:rPr>
        <w:t xml:space="preserve">Energy Consumption in Use (per year):</w:t>
      </w:r>
      <w:r>
        <w:t xml:space="preserve"> </w:t>
      </w:r>
      <w:r>
        <w:t xml:space="preserve">iliphhkozv (15 kWh/year)</w:t>
      </w:r>
    </w:p>
    <w:p>
      <w:pPr>
        <w:numPr>
          <w:ilvl w:val="0"/>
          <w:numId w:val="1004"/>
        </w:numPr>
        <w:pStyle w:val="Compact"/>
      </w:pPr>
      <w:r>
        <w:rPr>
          <w:bCs/>
          <w:b/>
        </w:rPr>
        <w:t xml:space="preserve">Assumed User Geographic Scope:</w:t>
      </w:r>
      <w:r>
        <w:t xml:space="preserve"> </w:t>
      </w:r>
      <w:r>
        <w:t xml:space="preserve">Europe (due to "Europe Focused" supply chain)</w:t>
      </w:r>
    </w:p>
    <w:p>
      <w:pPr>
        <w:numPr>
          <w:ilvl w:val="0"/>
          <w:numId w:val="1004"/>
        </w:numPr>
        <w:pStyle w:val="Compact"/>
      </w:pPr>
      <w:r>
        <w:rPr>
          <w:bCs/>
          <w:b/>
        </w:rPr>
        <w:t xml:space="preserve">European Electricity Grid Emission Factor (illustrative):</w:t>
      </w:r>
      <w:r>
        <w:t xml:space="preserve"> </w:t>
      </w:r>
      <w:r>
        <w:t xml:space="preserve">0.20 kg CO2e/kWh (approximate average for recent years).</w:t>
      </w:r>
    </w:p>
    <w:bookmarkEnd w:id="32"/>
    <w:bookmarkStart w:id="33" w:name="end-of-life-eol-scope-3-category-12"/>
    <w:p>
      <w:pPr>
        <w:pStyle w:val="Heading3"/>
      </w:pPr>
      <w:r>
        <w:t xml:space="preserve">2.5. End-of-Life (EoL) (Scope 3, Category 12)</w:t>
      </w:r>
    </w:p>
    <w:p>
      <w:pPr>
        <w:pStyle w:val="FirstParagraph"/>
      </w:pPr>
      <w:r>
        <w:t xml:space="preserve">This stage considers the disposal, recycling, or recovery of the product and its components at the end of its life.</w:t>
      </w:r>
    </w:p>
    <w:p>
      <w:pPr>
        <w:numPr>
          <w:ilvl w:val="0"/>
          <w:numId w:val="1005"/>
        </w:numPr>
        <w:pStyle w:val="Compact"/>
      </w:pPr>
      <w:r>
        <w:rPr>
          <w:bCs/>
          <w:b/>
        </w:rPr>
        <w:t xml:space="preserve">Recyclability Percentage:</w:t>
      </w:r>
      <w:r>
        <w:t xml:space="preserve"> </w:t>
      </w:r>
      <w:r>
        <w:t xml:space="preserve">xoovojxvqg (85%)</w:t>
      </w:r>
    </w:p>
    <w:p>
      <w:pPr>
        <w:numPr>
          <w:ilvl w:val="0"/>
          <w:numId w:val="1005"/>
        </w:numPr>
        <w:pStyle w:val="Compact"/>
      </w:pPr>
      <w:r>
        <w:rPr>
          <w:bCs/>
          <w:b/>
        </w:rPr>
        <w:t xml:space="preserve">Circular/Take-back Programs:</w:t>
      </w:r>
      <w:r>
        <w:t xml:space="preserve"> </w:t>
      </w:r>
      <w:r>
        <w:t xml:space="preserve">pttlhyfqjw (Yes, via established regional collection points and certified recycling partners)</w:t>
      </w:r>
    </w:p>
    <w:p>
      <w:pPr>
        <w:numPr>
          <w:ilvl w:val="0"/>
          <w:numId w:val="1005"/>
        </w:numPr>
        <w:pStyle w:val="Compact"/>
      </w:pPr>
      <w:r>
        <w:rPr>
          <w:bCs/>
          <w:b/>
        </w:rPr>
        <w:t xml:space="preserve">Non-recyclable/Landfilled Percentage:</w:t>
      </w:r>
      <w:r>
        <w:t xml:space="preserve"> </w:t>
      </w:r>
      <w:r>
        <w:t xml:space="preserve">15%</w:t>
      </w:r>
    </w:p>
    <w:p>
      <w:pPr>
        <w:numPr>
          <w:ilvl w:val="0"/>
          <w:numId w:val="1005"/>
        </w:numPr>
        <w:pStyle w:val="Compact"/>
      </w:pPr>
      <w:r>
        <w:rPr>
          <w:bCs/>
          <w:b/>
        </w:rPr>
        <w:t xml:space="preserve">Landfill Emission Factor (illustrative for mixed waste):</w:t>
      </w:r>
      <w:r>
        <w:t xml:space="preserve"> </w:t>
      </w:r>
      <w:r>
        <w:t xml:space="preserve">0.1 kg CO2e/kg (for the portion not recycled).</w:t>
      </w:r>
    </w:p>
    <w:p>
      <w:pPr>
        <w:numPr>
          <w:ilvl w:val="0"/>
          <w:numId w:val="1005"/>
        </w:numPr>
        <w:pStyle w:val="Compact"/>
      </w:pPr>
      <w:r>
        <w:rPr>
          <w:bCs/>
          <w:b/>
        </w:rPr>
        <w:t xml:space="preserve">Recycling Benefit:</w:t>
      </w:r>
      <w:r>
        <w:t xml:space="preserve"> </w:t>
      </w:r>
      <w:r>
        <w:t xml:space="preserve">Credits for avoided virgin material production for the recycled portion. For simplicity, a credit equivalent to the proportion of recyclable materials multiplied by their initial production emissions is used to reflect the circular economy impact.</w:t>
      </w:r>
    </w:p>
    <w:p>
      <w:r>
        <w:pict>
          <v:rect style="width:0;height:1.5pt" o:hralign="center" o:hrstd="t" o:hr="t"/>
        </w:pict>
      </w:r>
    </w:p>
    <w:bookmarkEnd w:id="33"/>
    <w:bookmarkEnd w:id="34"/>
    <w:bookmarkStart w:id="38" w:name="ghg-protocol-adherence-and-2026-updates"/>
    <w:p>
      <w:pPr>
        <w:pStyle w:val="Heading2"/>
      </w:pPr>
      <w:r>
        <w:t xml:space="preserve">3. GHG Protocol Adherence and 2026 Updates</w:t>
      </w:r>
    </w:p>
    <w:bookmarkStart w:id="35" w:name="scope-categorization"/>
    <w:p>
      <w:pPr>
        <w:pStyle w:val="Heading3"/>
      </w:pPr>
      <w:r>
        <w:t xml:space="preserve">3.1. Scope Categorization</w:t>
      </w:r>
    </w:p>
    <w:p>
      <w:pPr>
        <w:pStyle w:val="FirstParagraph"/>
      </w:pPr>
      <w:r>
        <w:t xml:space="preserve">Emissions are systematically categorized according to the GHG Protocol:</w:t>
      </w:r>
    </w:p>
    <w:p>
      <w:pPr>
        <w:numPr>
          <w:ilvl w:val="0"/>
          <w:numId w:val="1006"/>
        </w:numPr>
        <w:pStyle w:val="Compact"/>
      </w:pPr>
      <w:r>
        <w:rPr>
          <w:bCs/>
          <w:b/>
        </w:rPr>
        <w:t xml:space="preserve">Scope 1:</w:t>
      </w:r>
      <w:r>
        <w:t xml:space="preserve"> </w:t>
      </w:r>
      <w:r>
        <w:t xml:space="preserve">Direct GHG emissions from sources owned or controlled by zgvnyuvtph. (e.g., direct fuel combustion in manufacturing, if any, not explicitly covered by parameters but considered in the overall production footprint).</w:t>
      </w:r>
    </w:p>
    <w:p>
      <w:pPr>
        <w:numPr>
          <w:ilvl w:val="0"/>
          <w:numId w:val="1006"/>
        </w:numPr>
        <w:pStyle w:val="Compact"/>
      </w:pPr>
      <w:r>
        <w:rPr>
          <w:bCs/>
          <w:b/>
        </w:rPr>
        <w:t xml:space="preserve">Scope 2:</w:t>
      </w:r>
      <w:r>
        <w:t xml:space="preserve"> </w:t>
      </w:r>
      <w:r>
        <w:t xml:space="preserve">Indirect GHG emissions from the generation of purchased electricity consumed by zgvnyuvtph. (e.g., electricity used in manufacturing).</w:t>
      </w:r>
    </w:p>
    <w:p>
      <w:pPr>
        <w:numPr>
          <w:ilvl w:val="0"/>
          <w:numId w:val="1006"/>
        </w:numPr>
        <w:pStyle w:val="Compact"/>
      </w:pPr>
      <w:r>
        <w:rPr>
          <w:bCs/>
          <w:b/>
        </w:rPr>
        <w:t xml:space="preserve">Scope 3:</w:t>
      </w:r>
      <w:r>
        <w:t xml:space="preserve"> </w:t>
      </w:r>
      <w:r>
        <w:t xml:space="preserve">All other indirect GHG emissions that occur in the value chain of zgvnyuvtph, both upstream and downstream. This includes raw materials, transportation, product use, and end-of-life treatment. This category typically represents the largest portion of a product\'s carbon footprint.</w:t>
      </w:r>
    </w:p>
    <w:bookmarkEnd w:id="35"/>
    <w:bookmarkStart w:id="36" w:name="X504f4a86e01fdcfa46a4589bb1b5e0cfaad8629"/>
    <w:p>
      <w:pPr>
        <w:pStyle w:val="Heading3"/>
      </w:pPr>
      <w:r>
        <w:t xml:space="preserve">3.2. 2026 Land Sector and Removals (LSR) Standard Update</w:t>
      </w:r>
    </w:p>
    <w:p>
      <w:pPr>
        <w:pStyle w:val="FirstParagraph"/>
      </w:pPr>
      <w:r>
        <w:t xml:space="preserve">The GHG Protocol\'s Land Sector and Removals (LSR) Standard, effective January 1, 2027, provides comprehensive accounting requirements for land-related emissions and CO2 removals. While the direct application to this specific product (xnhhojgeni, an industrial product) might be limited given the current parameters, zgvnyuvtph should be aware that the LSR Standard will necessitate quantifying and reporting land management, land use change, and technological CO2 removals in their broader corporate GHG inventory. It builds upon and is used in combination with the Corporate Standard and Scope 3 Standard. The accompanying guidance is expected in Q2 2026, and forest carbon accounting is not yet included in this version.</w:t>
      </w:r>
    </w:p>
    <w:bookmarkEnd w:id="36"/>
    <w:bookmarkStart w:id="37" w:name="scope-3-compliance-95-coverage"/>
    <w:p>
      <w:pPr>
        <w:pStyle w:val="Heading3"/>
      </w:pPr>
      <w:r>
        <w:t xml:space="preserve">3.3. Scope 3 Compliance (95% Coverage)</w:t>
      </w:r>
    </w:p>
    <w:p>
      <w:pPr>
        <w:pStyle w:val="FirstParagraph"/>
      </w:pPr>
      <w:r>
        <w:t xml:space="preserve">As per the 2026 requirements, companies are mandated to account for at least 95% of their total relevant Scope 3 emissions to claim conformance with the GHG Protocol. This signifies a critical shift towards more complete and auditable Scope 3 reporting, moving away from selective disclosure. This report aims for comprehensive coverage by integrating all provided value chain parameters, including upstream materials and downstream use and end-of-life phases, to ensure robust compliance with this stringent threshold. Mandatory data disaggregation by source type (primary vs. secondary) is also becoming a key requirement, emphasizing data quality.</w:t>
      </w:r>
    </w:p>
    <w:p>
      <w:r>
        <w:pict>
          <v:rect style="width:0;height:1.5pt" o:hralign="center" o:hrstd="t" o:hr="t"/>
        </w:pict>
      </w:r>
    </w:p>
    <w:bookmarkEnd w:id="37"/>
    <w:bookmarkEnd w:id="38"/>
    <w:bookmarkStart w:id="44" w:name="emission-calculation"/>
    <w:p>
      <w:pPr>
        <w:pStyle w:val="Heading2"/>
      </w:pPr>
      <w:r>
        <w:t xml:space="preserve">4. Emission Calculation</w:t>
      </w:r>
    </w:p>
    <w:p>
      <w:pPr>
        <w:pStyle w:val="FirstParagraph"/>
      </w:pPr>
      <w:r>
        <w:t xml:space="preserve">Emissions are calculated for each stage by multiplying activity data by appropriate emission factors (Activity Data × Emission Factor = CO2e). All results are expressed in kg CO2e.</w:t>
      </w:r>
    </w:p>
    <w:bookmarkStart w:id="39" w:name="X39dada95c2386006341f6e643b02441a1eab1b5"/>
    <w:p>
      <w:pPr>
        <w:pStyle w:val="Heading3"/>
      </w:pPr>
      <w:r>
        <w:t xml:space="preserve">4.1. Raw Material Acquisition and Pre-processing (Scope 3, Category 1)</w:t>
      </w:r>
    </w:p>
    <w:p>
      <w:pPr>
        <w:pStyle w:val="FirstParagraph"/>
      </w:pPr>
      <w:r>
        <w:t xml:space="preserve">These emissions are directly taken from the \'Total Carbon\' column of the provided BOM, which incorporates material quantities and specific emission factors.</w:t>
      </w:r>
    </w:p>
    <w:p>
      <w:pPr>
        <w:numPr>
          <w:ilvl w:val="0"/>
          <w:numId w:val="1007"/>
        </w:numPr>
        <w:pStyle w:val="Compact"/>
      </w:pPr>
      <w:r>
        <w:t xml:space="preserve">Steel Casing: 1.25 kg CO2e</w:t>
      </w:r>
    </w:p>
    <w:p>
      <w:pPr>
        <w:numPr>
          <w:ilvl w:val="0"/>
          <w:numId w:val="1007"/>
        </w:numPr>
        <w:pStyle w:val="Compact"/>
      </w:pPr>
      <w:r>
        <w:t xml:space="preserve">Plastic Housing: 0.36 kg CO2e</w:t>
      </w:r>
    </w:p>
    <w:p>
      <w:pPr>
        <w:numPr>
          <w:ilvl w:val="0"/>
          <w:numId w:val="1007"/>
        </w:numPr>
        <w:pStyle w:val="Compact"/>
      </w:pPr>
      <w:r>
        <w:t xml:space="preserve">Circuit Board (populated): 0.75 kg CO2e</w:t>
      </w:r>
    </w:p>
    <w:p>
      <w:pPr>
        <w:numPr>
          <w:ilvl w:val="0"/>
          <w:numId w:val="1007"/>
        </w:numPr>
        <w:pStyle w:val="Compact"/>
      </w:pPr>
      <w:r>
        <w:t xml:space="preserve">Copper Wire: 0.30 kg CO2e</w:t>
      </w:r>
    </w:p>
    <w:p>
      <w:pPr>
        <w:pStyle w:val="FirstParagraph"/>
      </w:pPr>
      <w:r>
        <w:rPr>
          <w:bCs/>
          <w:b/>
        </w:rPr>
        <w:t xml:space="preserve">Total Material Emissions:</w:t>
      </w:r>
      <w:r>
        <w:t xml:space="preserve"> </w:t>
      </w:r>
      <w:r>
        <w:t xml:space="preserve">1.25 + 0.36 + 0.75 + 0.30 =</w:t>
      </w:r>
      <w:r>
        <w:t xml:space="preserve"> </w:t>
      </w:r>
      <w:r>
        <w:rPr>
          <w:bCs/>
          <w:b/>
        </w:rPr>
        <w:t xml:space="preserve">2.66 kg CO2e</w:t>
      </w:r>
    </w:p>
    <w:bookmarkEnd w:id="39"/>
    <w:bookmarkStart w:id="40" w:name="manufacturing-emissions-scope-2"/>
    <w:p>
      <w:pPr>
        <w:pStyle w:val="Heading3"/>
      </w:pPr>
      <w:r>
        <w:t xml:space="preserve">4.2. Manufacturing Emissions (Scope 2)</w:t>
      </w:r>
    </w:p>
    <w:p>
      <w:pPr>
        <w:pStyle w:val="FirstParagraph"/>
      </w:pPr>
      <w:r>
        <w:t xml:space="preserve">Electricity consumption during manufacturing, considering renewable energy usage:</w:t>
      </w:r>
    </w:p>
    <w:p>
      <w:pPr>
        <w:pStyle w:val="BodyText"/>
      </w:pPr>
      <w:r>
        <w:t xml:space="preserve">Emissions = Energy Intensity per unit × (1 - Renewable Energy Usage) × China Grid Emission Factor</w:t>
      </w:r>
    </w:p>
    <w:p>
      <w:pPr>
        <w:pStyle w:val="BodyText"/>
      </w:pPr>
      <w:r>
        <w:t xml:space="preserve">Emissions = 8 kWh/unit × (1 - 0.75) × 0.57 kg CO2e/kWh</w:t>
      </w:r>
    </w:p>
    <w:p>
      <w:pPr>
        <w:pStyle w:val="BodyText"/>
      </w:pPr>
      <w:r>
        <w:t xml:space="preserve">Emissions = 8 kWh/unit × 0.25 × 0.57 kg CO2e/kWh =</w:t>
      </w:r>
      <w:r>
        <w:t xml:space="preserve"> </w:t>
      </w:r>
      <w:r>
        <w:rPr>
          <w:bCs/>
          <w:b/>
        </w:rPr>
        <w:t xml:space="preserve">1.14 kg CO2e</w:t>
      </w:r>
    </w:p>
    <w:p>
      <w:pPr>
        <w:pStyle w:val="BodyText"/>
      </w:pPr>
      <w:r>
        <w:t xml:space="preserve">(Note: Any direct (Scope 1) emissions from fuel combustion on-site for manufacturing are assumed to be negligible or included within the overall energy intensity if not separately provided.)</w:t>
      </w:r>
    </w:p>
    <w:bookmarkEnd w:id="40"/>
    <w:bookmarkStart w:id="41" w:name="Xe67be858d18a42909932288636fd5b20fac0ed7"/>
    <w:p>
      <w:pPr>
        <w:pStyle w:val="Heading3"/>
      </w:pPr>
      <w:r>
        <w:t xml:space="preserve">4.3. Transportation and Distribution Emissions (Scope 3, Category 4 &amp; 9)</w:t>
      </w:r>
    </w:p>
    <w:p>
      <w:pPr>
        <w:pStyle w:val="FirstParagraph"/>
      </w:pPr>
      <w:r>
        <w:rPr>
          <w:bCs/>
          <w:b/>
        </w:rPr>
        <w:t xml:space="preserve">Primary Transport (Ocean Freight):</w:t>
      </w:r>
    </w:p>
    <w:p>
      <w:pPr>
        <w:pStyle w:val="BodyText"/>
      </w:pPr>
      <w:r>
        <w:t xml:space="preserve">Emissions = Product Weight (tonnes) × Distance (km) × Ocean Freight EF (kg CO2e/tonne-km)</w:t>
      </w:r>
    </w:p>
    <w:p>
      <w:pPr>
        <w:pStyle w:val="BodyText"/>
      </w:pPr>
      <w:r>
        <w:t xml:space="preserve">Emissions = 0.00085 tonnes × 10,000 km × 0.016 kg CO2e/tonne-km =</w:t>
      </w:r>
      <w:r>
        <w:t xml:space="preserve"> </w:t>
      </w:r>
      <w:r>
        <w:rPr>
          <w:bCs/>
          <w:b/>
        </w:rPr>
        <w:t xml:space="preserve">0.136 kg CO2e</w:t>
      </w:r>
    </w:p>
    <w:p>
      <w:pPr>
        <w:pStyle w:val="BodyText"/>
      </w:pPr>
      <w:r>
        <w:rPr>
          <w:bCs/>
          <w:b/>
        </w:rPr>
        <w:t xml:space="preserve">Last-Mile Delivery (Road Freight):</w:t>
      </w:r>
    </w:p>
    <w:p>
      <w:pPr>
        <w:pStyle w:val="BodyText"/>
      </w:pPr>
      <w:r>
        <w:t xml:space="preserve">Emissions = Product Weight (tonnes) × Distance (km) × Road Freight EF (kg CO2e/tonne-km)</w:t>
      </w:r>
    </w:p>
    <w:p>
      <w:pPr>
        <w:pStyle w:val="BodyText"/>
      </w:pPr>
      <w:r>
        <w:t xml:space="preserve">Emissions = 0.00085 tonnes × 100 km × 0.24 kg CO2e/tonne-km =</w:t>
      </w:r>
      <w:r>
        <w:t xml:space="preserve"> </w:t>
      </w:r>
      <w:r>
        <w:rPr>
          <w:bCs/>
          <w:b/>
        </w:rPr>
        <w:t xml:space="preserve">0.0204 kg CO2e</w:t>
      </w:r>
    </w:p>
    <w:p>
      <w:pPr>
        <w:pStyle w:val="BodyText"/>
      </w:pPr>
      <w:r>
        <w:rPr>
          <w:bCs/>
          <w:b/>
        </w:rPr>
        <w:t xml:space="preserve">Total Transport Emissions:</w:t>
      </w:r>
      <w:r>
        <w:t xml:space="preserve"> </w:t>
      </w:r>
      <w:r>
        <w:t xml:space="preserve">0.136 + 0.0204 =</w:t>
      </w:r>
      <w:r>
        <w:t xml:space="preserve"> </w:t>
      </w:r>
      <w:r>
        <w:rPr>
          <w:bCs/>
          <w:b/>
        </w:rPr>
        <w:t xml:space="preserve">0.1564 kg CO2e</w:t>
      </w:r>
    </w:p>
    <w:bookmarkEnd w:id="41"/>
    <w:bookmarkStart w:id="42" w:name="use-phase-emissions-scope-3-category-11"/>
    <w:p>
      <w:pPr>
        <w:pStyle w:val="Heading3"/>
      </w:pPr>
      <w:r>
        <w:t xml:space="preserve">4.4. Use Phase Emissions (Scope 3, Category 11)</w:t>
      </w:r>
    </w:p>
    <w:p>
      <w:pPr>
        <w:pStyle w:val="FirstParagraph"/>
      </w:pPr>
      <w:r>
        <w:t xml:space="preserve">Emissions = Energy Consumption in Use per year × Product Lifespan × European Grid Emission Factor</w:t>
      </w:r>
    </w:p>
    <w:p>
      <w:pPr>
        <w:pStyle w:val="BodyText"/>
      </w:pPr>
      <w:r>
        <w:t xml:space="preserve">Emissions = 15 kWh/year × 7 years × 0.20 kg CO2e/kWh =</w:t>
      </w:r>
      <w:r>
        <w:t xml:space="preserve"> </w:t>
      </w:r>
      <w:r>
        <w:rPr>
          <w:bCs/>
          <w:b/>
        </w:rPr>
        <w:t xml:space="preserve">21.0 kg CO2e</w:t>
      </w:r>
    </w:p>
    <w:bookmarkEnd w:id="42"/>
    <w:bookmarkStart w:id="43" w:name="X5e5cbf218ddca145d480236aec83823d0b6820f"/>
    <w:p>
      <w:pPr>
        <w:pStyle w:val="Heading3"/>
      </w:pPr>
      <w:r>
        <w:t xml:space="preserve">4.5. End-of-Life (EoL) Emissions / Credits (Scope 3, Category 12)</w:t>
      </w:r>
    </w:p>
    <w:p>
      <w:pPr>
        <w:pStyle w:val="FirstParagraph"/>
      </w:pPr>
      <w:r>
        <w:t xml:space="preserve">To reflect circular economy impacts, a credit is applied for the recyclable portion, and a debit for the landfilled portion.</w:t>
      </w:r>
    </w:p>
    <w:p>
      <w:pPr>
        <w:numPr>
          <w:ilvl w:val="0"/>
          <w:numId w:val="1008"/>
        </w:numPr>
        <w:pStyle w:val="Compact"/>
      </w:pPr>
      <w:r>
        <w:rPr>
          <w:bCs/>
          <w:b/>
        </w:rPr>
        <w:t xml:space="preserve">Recycled Portion (85%):</w:t>
      </w:r>
      <w:r>
        <w:t xml:space="preserve"> </w:t>
      </w:r>
      <w:r>
        <w:t xml:space="preserve">Credit for avoided virgin material production.</w:t>
      </w:r>
    </w:p>
    <w:p>
      <w:pPr>
        <w:numPr>
          <w:ilvl w:val="0"/>
          <w:numId w:val="1008"/>
        </w:numPr>
        <w:pStyle w:val="Compact"/>
      </w:pPr>
      <w:r>
        <w:t xml:space="preserve">Recycling Credit = - (Total Material Emissions) × Recyclability Percentage</w:t>
      </w:r>
    </w:p>
    <w:p>
      <w:pPr>
        <w:numPr>
          <w:ilvl w:val="0"/>
          <w:numId w:val="1008"/>
        </w:numPr>
        <w:pStyle w:val="Compact"/>
      </w:pPr>
      <w:r>
        <w:t xml:space="preserve">Recycling Credit = - 2.66 kg CO2e × 0.85 =</w:t>
      </w:r>
      <w:r>
        <w:t xml:space="preserve"> </w:t>
      </w:r>
      <w:r>
        <w:rPr>
          <w:bCs/>
          <w:b/>
        </w:rPr>
        <w:t xml:space="preserve">-2.261 kg CO2e</w:t>
      </w:r>
    </w:p>
    <w:p>
      <w:pPr>
        <w:numPr>
          <w:ilvl w:val="0"/>
          <w:numId w:val="1008"/>
        </w:numPr>
        <w:pStyle w:val="Compact"/>
      </w:pPr>
      <w:r>
        <w:rPr>
          <w:bCs/>
          <w:b/>
        </w:rPr>
        <w:t xml:space="preserve">Landfilled Portion (15%):</w:t>
      </w:r>
      <w:r>
        <w:t xml:space="preserve"> </w:t>
      </w:r>
      <w:r>
        <w:t xml:space="preserve">Emissions from disposal.</w:t>
      </w:r>
    </w:p>
    <w:p>
      <w:pPr>
        <w:numPr>
          <w:ilvl w:val="0"/>
          <w:numId w:val="1008"/>
        </w:numPr>
        <w:pStyle w:val="Compact"/>
      </w:pPr>
      <w:r>
        <w:t xml:space="preserve">Landfill Emissions = Product Weight (kg) × (1 - Recyclability Percentage) × Landfill Emission Factor (kg CO2e/kg)</w:t>
      </w:r>
    </w:p>
    <w:p>
      <w:pPr>
        <w:numPr>
          <w:ilvl w:val="0"/>
          <w:numId w:val="1008"/>
        </w:numPr>
        <w:pStyle w:val="Compact"/>
      </w:pPr>
      <w:r>
        <w:t xml:space="preserve">Landfill Emissions = 0.85 kg × 0.15 × 0.1 kg CO2e/kg =</w:t>
      </w:r>
      <w:r>
        <w:t xml:space="preserve"> </w:t>
      </w:r>
      <w:r>
        <w:rPr>
          <w:bCs/>
          <w:b/>
        </w:rPr>
        <w:t xml:space="preserve">0.01275 kg CO2e</w:t>
      </w:r>
    </w:p>
    <w:p>
      <w:pPr>
        <w:pStyle w:val="FirstParagraph"/>
      </w:pPr>
      <w:r>
        <w:rPr>
          <w:bCs/>
          <w:b/>
        </w:rPr>
        <w:t xml:space="preserve">Net End-of-Life Emissions:</w:t>
      </w:r>
      <w:r>
        <w:t xml:space="preserve"> </w:t>
      </w:r>
      <w:r>
        <w:t xml:space="preserve">-2.261 + 0.01275 =</w:t>
      </w:r>
      <w:r>
        <w:t xml:space="preserve"> </w:t>
      </w:r>
      <w:r>
        <w:rPr>
          <w:bCs/>
          <w:b/>
        </w:rPr>
        <w:t xml:space="preserve">-2.24825 kg CO2e</w:t>
      </w:r>
    </w:p>
    <w:p>
      <w:r>
        <w:pict>
          <v:rect style="width:0;height:1.5pt" o:hralign="center" o:hrstd="t" o:hr="t"/>
        </w:pict>
      </w:r>
    </w:p>
    <w:bookmarkEnd w:id="43"/>
    <w:bookmarkEnd w:id="44"/>
    <w:bookmarkStart w:id="47" w:name="product-carbon-footprint-summary"/>
    <w:p>
      <w:pPr>
        <w:pStyle w:val="Heading2"/>
      </w:pPr>
      <w:r>
        <w:t xml:space="preserve">5. Product Carbon Footprint Summary</w:t>
      </w:r>
    </w:p>
    <w:p>
      <w:pPr>
        <w:pStyle w:val="FirstParagraph"/>
      </w:pPr>
      <w:r>
        <w:t xml:space="preserve">The total Product Carbon Footprint for one functional unit of xnhhojgeni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 (Upstream)</w:t>
            </w:r>
          </w:p>
        </w:tc>
        <w:tc>
          <w:tcPr/>
          <w:p>
            <w:pPr>
              <w:pStyle w:val="Compact"/>
              <w:jc w:val="left"/>
            </w:pPr>
            <w:r>
              <w:t xml:space="preserve">2.6600</w:t>
            </w:r>
          </w:p>
        </w:tc>
      </w:tr>
      <w:tr>
        <w:tc>
          <w:tcPr/>
          <w:p>
            <w:pPr>
              <w:pStyle w:val="Compact"/>
              <w:jc w:val="left"/>
            </w:pPr>
            <w:r>
              <w:t xml:space="preserve">Manufacturing (Electricity)</w:t>
            </w:r>
          </w:p>
        </w:tc>
        <w:tc>
          <w:tcPr/>
          <w:p>
            <w:pPr>
              <w:pStyle w:val="Compact"/>
              <w:jc w:val="left"/>
            </w:pPr>
            <w:r>
              <w:t xml:space="preserve">Scope 2 (Operational)</w:t>
            </w:r>
          </w:p>
        </w:tc>
        <w:tc>
          <w:tcPr/>
          <w:p>
            <w:pPr>
              <w:pStyle w:val="Compact"/>
              <w:jc w:val="left"/>
            </w:pPr>
            <w:r>
              <w:t xml:space="preserve">1.1400</w:t>
            </w:r>
          </w:p>
        </w:tc>
      </w:tr>
      <w:tr>
        <w:tc>
          <w:tcPr/>
          <w:p>
            <w:pPr>
              <w:pStyle w:val="Compact"/>
              <w:jc w:val="left"/>
            </w:pPr>
            <w:r>
              <w:t xml:space="preserve">Transportation &amp; Distribution</w:t>
            </w:r>
          </w:p>
        </w:tc>
        <w:tc>
          <w:tcPr/>
          <w:p>
            <w:pPr>
              <w:pStyle w:val="Compact"/>
              <w:jc w:val="left"/>
            </w:pPr>
            <w:r>
              <w:t xml:space="preserve">Scope 3, Category 4 &amp; 9 (Upstream/Downstream)</w:t>
            </w:r>
          </w:p>
        </w:tc>
        <w:tc>
          <w:tcPr/>
          <w:p>
            <w:pPr>
              <w:pStyle w:val="Compact"/>
              <w:jc w:val="left"/>
            </w:pPr>
            <w:r>
              <w:t xml:space="preserve">0.1564</w:t>
            </w:r>
          </w:p>
        </w:tc>
      </w:tr>
      <w:tr>
        <w:tc>
          <w:tcPr/>
          <w:p>
            <w:pPr>
              <w:pStyle w:val="Compact"/>
              <w:jc w:val="left"/>
            </w:pPr>
            <w:r>
              <w:t xml:space="preserve">Use Phase</w:t>
            </w:r>
          </w:p>
        </w:tc>
        <w:tc>
          <w:tcPr/>
          <w:p>
            <w:pPr>
              <w:pStyle w:val="Compact"/>
              <w:jc w:val="left"/>
            </w:pPr>
            <w:r>
              <w:t xml:space="preserve">Scope 3, Category 11 (Downstream)</w:t>
            </w:r>
          </w:p>
        </w:tc>
        <w:tc>
          <w:tcPr/>
          <w:p>
            <w:pPr>
              <w:pStyle w:val="Compact"/>
              <w:jc w:val="left"/>
            </w:pPr>
            <w:r>
              <w:t xml:space="preserve">21.0000</w:t>
            </w:r>
          </w:p>
        </w:tc>
      </w:tr>
      <w:tr>
        <w:tc>
          <w:tcPr/>
          <w:p>
            <w:pPr>
              <w:pStyle w:val="Compact"/>
              <w:jc w:val="left"/>
            </w:pPr>
            <w:r>
              <w:t xml:space="preserve">End-of-Life (Net)</w:t>
            </w:r>
          </w:p>
        </w:tc>
        <w:tc>
          <w:tcPr/>
          <w:p>
            <w:pPr>
              <w:pStyle w:val="Compact"/>
              <w:jc w:val="left"/>
            </w:pPr>
            <w:r>
              <w:t xml:space="preserve">Scope 3, Category 12 (Downstream)</w:t>
            </w:r>
          </w:p>
        </w:tc>
        <w:tc>
          <w:tcPr/>
          <w:p>
            <w:pPr>
              <w:pStyle w:val="Compact"/>
              <w:jc w:val="left"/>
            </w:pPr>
            <w:r>
              <w:t xml:space="preserve">-2.24825</w:t>
            </w:r>
          </w:p>
        </w:tc>
      </w:tr>
      <w:tr>
        <w:tc>
          <w:tcPr/>
          <w:p>
            <w:pPr>
              <w:pStyle w:val="Compact"/>
              <w:jc w:val="left"/>
            </w:pPr>
            <w:r>
              <w:t xml:space="preserve">TOTAL PRODUCT CARBON FOOTPRINT</w:t>
            </w:r>
          </w:p>
        </w:tc>
        <w:tc>
          <w:tcPr/>
          <w:p>
            <w:pPr>
              <w:pStyle w:val="Compact"/>
            </w:pPr>
          </w:p>
        </w:tc>
        <w:tc>
          <w:tcPr/>
          <w:p>
            <w:pPr>
              <w:pStyle w:val="Compact"/>
              <w:jc w:val="left"/>
            </w:pPr>
            <w:r>
              <w:t xml:space="preserve">22.70815</w:t>
            </w:r>
          </w:p>
        </w:tc>
      </w:tr>
    </w:tbl>
    <w:p>
      <w:pPr>
        <w:pStyle w:val="BodyText"/>
      </w:pPr>
      <w:r>
        <w:rPr>
          <w:bCs/>
          <w:b/>
        </w:rPr>
        <w:t xml:space="preserve">Total Product Carbon Footprint for xnhhojgeni: 22.71 kg CO2e per unit</w:t>
      </w:r>
    </w:p>
    <w:bookmarkStart w:id="45" w:name="emissions-by-scope"/>
    <w:p>
      <w:pPr>
        <w:pStyle w:val="Heading3"/>
      </w:pPr>
      <w:r>
        <w:t xml:space="preserve">5.1.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1.14</w:t>
            </w:r>
          </w:p>
        </w:tc>
        <w:tc>
          <w:tcPr/>
          <w:p>
            <w:pPr>
              <w:pStyle w:val="Compact"/>
              <w:jc w:val="left"/>
            </w:pPr>
            <w:r>
              <w:t xml:space="preserve">5.02%</w:t>
            </w:r>
          </w:p>
        </w:tc>
      </w:tr>
      <w:tr>
        <w:tc>
          <w:tcPr/>
          <w:p>
            <w:pPr>
              <w:pStyle w:val="Compact"/>
              <w:jc w:val="left"/>
            </w:pPr>
            <w:r>
              <w:t xml:space="preserve">Scope 3</w:t>
            </w:r>
          </w:p>
        </w:tc>
        <w:tc>
          <w:tcPr/>
          <w:p>
            <w:pPr>
              <w:pStyle w:val="Compact"/>
              <w:jc w:val="left"/>
            </w:pPr>
            <w:r>
              <w:t xml:space="preserve">21.56815</w:t>
            </w:r>
          </w:p>
        </w:tc>
        <w:tc>
          <w:tcPr/>
          <w:p>
            <w:pPr>
              <w:pStyle w:val="Compact"/>
              <w:jc w:val="left"/>
            </w:pPr>
            <w:r>
              <w:t xml:space="preserve">94.98%</w:t>
            </w:r>
          </w:p>
        </w:tc>
      </w:tr>
      <w:tr>
        <w:tc>
          <w:tcPr/>
          <w:p>
            <w:pPr>
              <w:pStyle w:val="Compact"/>
              <w:jc w:val="left"/>
            </w:pPr>
            <w:r>
              <w:t xml:space="preserve">Total</w:t>
            </w:r>
          </w:p>
        </w:tc>
        <w:tc>
          <w:tcPr/>
          <w:p>
            <w:pPr>
              <w:pStyle w:val="Compact"/>
              <w:jc w:val="left"/>
            </w:pPr>
            <w:r>
              <w:t xml:space="preserve">22.70815</w:t>
            </w:r>
          </w:p>
        </w:tc>
        <w:tc>
          <w:tcPr/>
          <w:p>
            <w:pPr>
              <w:pStyle w:val="Compact"/>
              <w:jc w:val="left"/>
            </w:pPr>
            <w:r>
              <w:t xml:space="preserve">100.00%</w:t>
            </w:r>
          </w:p>
        </w:tc>
      </w:tr>
    </w:tbl>
    <w:p>
      <w:pPr>
        <w:pStyle w:val="BodyText"/>
      </w:pPr>
      <w:r>
        <w:rPr>
          <w:iCs/>
          <w:i/>
        </w:rPr>
        <w:t xml:space="preserve">Note: Scope 1 emissions are assumed to be negligible or embedded within other categories based on provided parameters. The calculation for Scope 3 explicitly includes all upstream and downstream categories as per the GHG Protocol.</w:t>
      </w:r>
    </w:p>
    <w:bookmarkEnd w:id="45"/>
    <w:bookmarkStart w:id="46" w:name="hotspot-analysis-and-reliability"/>
    <w:p>
      <w:pPr>
        <w:pStyle w:val="Heading3"/>
      </w:pPr>
      <w:r>
        <w:t xml:space="preserve">5.2. Hotspot Analysis and Reliability</w:t>
      </w:r>
    </w:p>
    <w:p>
      <w:pPr>
        <w:pStyle w:val="FirstParagraph"/>
      </w:pPr>
      <w:r>
        <w:t xml:space="preserve">The analysis reveals significant emission hotspots:</w:t>
      </w:r>
    </w:p>
    <w:p>
      <w:pPr>
        <w:numPr>
          <w:ilvl w:val="0"/>
          <w:numId w:val="1009"/>
        </w:numPr>
        <w:pStyle w:val="Compact"/>
      </w:pPr>
      <w:r>
        <w:rPr>
          <w:bCs/>
          <w:b/>
        </w:rPr>
        <w:t xml:space="preserve">Use Phase:</w:t>
      </w:r>
      <w:r>
        <w:t xml:space="preserve"> </w:t>
      </w:r>
      <w:r>
        <w:t xml:space="preserve">Representing the largest portion (approximately 92% of positive emissions), the energy consumption during the product\'s 7-year lifespan is the primary driver of its carbon footprint. This highlights the importance of energy efficiency and grid decarbonization in the regions where the product is used.</w:t>
      </w:r>
    </w:p>
    <w:p>
      <w:pPr>
        <w:numPr>
          <w:ilvl w:val="0"/>
          <w:numId w:val="1009"/>
        </w:numPr>
        <w:pStyle w:val="Compact"/>
      </w:pPr>
      <w:r>
        <w:rPr>
          <w:bCs/>
          <w:b/>
        </w:rPr>
        <w:t xml:space="preserve">Raw Material Acquisition &amp; Pre-processing:</w:t>
      </w:r>
      <w:r>
        <w:t xml:space="preserve"> </w:t>
      </w:r>
      <w:r>
        <w:t xml:space="preserve">Materials contribute a notable portion (approximately 11% of positive emissions), emphasizing the need for sustainable material sourcing and design.</w:t>
      </w:r>
    </w:p>
    <w:p>
      <w:pPr>
        <w:numPr>
          <w:ilvl w:val="0"/>
          <w:numId w:val="1009"/>
        </w:numPr>
        <w:pStyle w:val="Compact"/>
      </w:pPr>
      <w:r>
        <w:rPr>
          <w:bCs/>
          <w:b/>
        </w:rPr>
        <w:t xml:space="preserve">End-of-Life:</w:t>
      </w:r>
      <w:r>
        <w:t xml:space="preserve"> </w:t>
      </w:r>
      <w:r>
        <w:t xml:space="preserve">The substantial negative contribution from End-of-Life (-2.25 kg CO2e) demonstrates the effectiveness of robust circular economy initiatives, providing significant avoided emissions through recycling.</w:t>
      </w:r>
    </w:p>
    <w:p>
      <w:pPr>
        <w:pStyle w:val="FirstParagraph"/>
      </w:pPr>
      <w:r>
        <w:t xml:space="preserve">The reliability of this PCF is considered moderate to high, drawing from specific primary data for BOM, energy intensity, and lifecycle parameters, supplemented by widely recognized secondary emission factor databases (Ecoinvent, DEFRA, Climatiq). The approach of using specific values from the provided BOM for material impacts further enhances accuracy. Transparency on data sources and assumptions has been maintained throughout the report.</w:t>
      </w:r>
    </w:p>
    <w:p>
      <w:r>
        <w:pict>
          <v:rect style="width:0;height:1.5pt" o:hralign="center" o:hrstd="t" o:hr="t"/>
        </w:pict>
      </w:r>
    </w:p>
    <w:bookmarkEnd w:id="46"/>
    <w:bookmarkEnd w:id="47"/>
    <w:bookmarkStart w:id="48" w:name="recommendations"/>
    <w:p>
      <w:pPr>
        <w:pStyle w:val="Heading2"/>
      </w:pPr>
      <w:r>
        <w:t xml:space="preserve">6. Recommendations</w:t>
      </w:r>
    </w:p>
    <w:p>
      <w:pPr>
        <w:pStyle w:val="FirstParagraph"/>
      </w:pPr>
      <w:r>
        <w:t xml:space="preserve">Based on this PCF analysis, zgvnyuvtph should consider the following strategic recommendations to reduce the carbon footprint of xnhhojgeni:</w:t>
      </w:r>
    </w:p>
    <w:p>
      <w:pPr>
        <w:numPr>
          <w:ilvl w:val="0"/>
          <w:numId w:val="1010"/>
        </w:numPr>
        <w:pStyle w:val="Compact"/>
      </w:pPr>
      <w:r>
        <w:rPr>
          <w:bCs/>
          <w:b/>
        </w:rPr>
        <w:t xml:space="preserve">Optimize Use Phase Efficiency:</w:t>
      </w:r>
      <w:r>
        <w:t xml:space="preserve"> </w:t>
      </w:r>
      <w:r>
        <w:t xml:space="preserve">Given the dominance of use phase emissions, investigate opportunities to significantly reduce the product\'s energy consumption during operation (e.g., through more efficient components, power-saving modes, or longer product lifespan if it reduces overall consumption per functional year).</w:t>
      </w:r>
    </w:p>
    <w:p>
      <w:pPr>
        <w:numPr>
          <w:ilvl w:val="0"/>
          <w:numId w:val="1010"/>
        </w:numPr>
        <w:pStyle w:val="Compact"/>
      </w:pPr>
      <w:r>
        <w:rPr>
          <w:bCs/>
          <w:b/>
        </w:rPr>
        <w:t xml:space="preserve">Promote Renewable Energy Adoption by End-Users:</w:t>
      </w:r>
      <w:r>
        <w:t xml:space="preserve"> </w:t>
      </w:r>
      <w:r>
        <w:t xml:space="preserve">Explore mechanisms to encourage end-users to power xnhhojgeni with renewable energy sources, potentially through bundled renewable energy certificates or clear guidance on low-carbon energy options.</w:t>
      </w:r>
    </w:p>
    <w:p>
      <w:pPr>
        <w:numPr>
          <w:ilvl w:val="0"/>
          <w:numId w:val="1010"/>
        </w:numPr>
        <w:pStyle w:val="Compact"/>
      </w:pPr>
      <w:r>
        <w:rPr>
          <w:bCs/>
          <w:b/>
        </w:rPr>
        <w:t xml:space="preserve">Material Decarbonization:</w:t>
      </w:r>
      <w:r>
        <w:t xml:space="preserve"> </w:t>
      </w:r>
      <w:r>
        <w:t xml:space="preserve">Continue to evaluate lower-carbon alternatives for key materials, particularly those with high embodied emissions in the BOM. Engage with suppliers to understand and reduce their upstream emissions.</w:t>
      </w:r>
    </w:p>
    <w:p>
      <w:pPr>
        <w:numPr>
          <w:ilvl w:val="0"/>
          <w:numId w:val="1010"/>
        </w:numPr>
        <w:pStyle w:val="Compact"/>
      </w:pPr>
      <w:r>
        <w:rPr>
          <w:bCs/>
          <w:b/>
        </w:rPr>
        <w:t xml:space="preserve">Enhance Circularity:</w:t>
      </w:r>
      <w:r>
        <w:t xml:space="preserve"> </w:t>
      </w:r>
      <w:r>
        <w:t xml:space="preserve">Further strengthen take-back programs and explore innovative recycling technologies to maximize material recovery and reduce reliance on virgin materials, potentially increasing the positive impact of the End-of-Life phase.</w:t>
      </w:r>
    </w:p>
    <w:p>
      <w:pPr>
        <w:numPr>
          <w:ilvl w:val="0"/>
          <w:numId w:val="1010"/>
        </w:numPr>
        <w:pStyle w:val="Compact"/>
      </w:pPr>
      <w:r>
        <w:rPr>
          <w:bCs/>
          <w:b/>
        </w:rPr>
        <w:t xml:space="preserve">Supply Chain Engagement:</w:t>
      </w:r>
      <w:r>
        <w:t xml:space="preserve"> </w:t>
      </w:r>
      <w:r>
        <w:t xml:space="preserve">Given the significant Scope 3 emissions, engage actively with supply chain partners to collect primary data and implement joint decarbonization initiatives, aligning with the 95% Scope 3 coverage requirement.</w:t>
      </w:r>
    </w:p>
    <w:p>
      <w:r>
        <w:pict>
          <v:rect style="width:0;height:1.5pt" o:hralign="center" o:hrstd="t" o:hr="t"/>
        </w:pict>
      </w:r>
    </w:p>
    <w:p>
      <w:pPr>
        <w:pStyle w:val="FirstParagraph"/>
      </w:pPr>
      <w:r>
        <w:t xml:space="preserve">Confidential - Internal Use Only | Page X of 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xnhhojgeni</dc:title>
  <dc:creator/>
  <dc:description>Detailed Product Carbon Footprint (PCF) analysis report for product xnhhojgeni, conducted by Senior Sustainability Consultant voyheyxnph for zgvnyuvtph, adhering to GHG Protocol and 2026 updates.</dc:description>
  <dc:language>en</dc:language>
  <cp:keywords/>
  <dcterms:created xsi:type="dcterms:W3CDTF">2026-07-15T17:56:21Z</dcterms:created>
  <dcterms:modified xsi:type="dcterms:W3CDTF">2026-07-15T17:56:21Z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