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xidwzmqmyu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xidwzmqmyu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fetkhzxzon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kjrdsmptpi</w:t>
      </w:r>
    </w:p>
    <w:p>
      <w:pPr>
        <w:pStyle w:val="BodyText"/>
      </w:pPr>
      <w:r>
        <w:t xml:space="preserve">Disclaimer: This report is generated based on available data and industry standards. While every effort has been made to ensure accuracy, the actual carbon footprint may vary based on real-time operational data and specific supply chain complexities.</w:t>
      </w:r>
    </w:p>
    <w:bookmarkEnd w:id="20"/>
    <w:p>
      <w:pPr>
        <w:pStyle w:val="BodyText"/>
      </w:pPr>
      <w:r>
        <w:t xml:space="preserve">Generated Date: May 21, 2026</w:t>
      </w:r>
    </w:p>
    <w:p>
      <w:pPr>
        <w:pStyle w:val="BodyText"/>
      </w:pPr>
      <w:r>
        <w:t xml:space="preserve">Confidential - Internal Use Only</w:t>
      </w:r>
    </w:p>
    <w:bookmarkStart w:id="46" w:name="Xbd1a0919a4626ef8e7df3a3cf435a5e9e664033"/>
    <w:p>
      <w:pPr>
        <w:pStyle w:val="Heading1"/>
      </w:pPr>
      <w:r>
        <w:t xml:space="preserve">Product Carbon Footprint (PCF) Analysis Report for xidwzmqmyu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a high-detail Product Carbon Footprint (PCF) analysis for xidwzmqmyu manufactured by fetkhzxzon.</w:t>
      </w:r>
      <w:r>
        <w:t xml:space="preserve"> </w:t>
      </w:r>
      <w:r>
        <w:t xml:space="preserve">Conducted by Senior Sustainability Consultant kjrdsmptpi, the analysis adheres strictly to the GHG Protocol,</w:t>
      </w:r>
      <w:r>
        <w:t xml:space="preserve"> </w:t>
      </w:r>
      <w:r>
        <w:t xml:space="preserve">incorporating the 2026 Land Sector and Removals (LSR) Standard and ensuring comprehensive Scope 3 coverage</w:t>
      </w:r>
      <w:r>
        <w:t xml:space="preserve"> </w:t>
      </w:r>
      <w:r>
        <w:t xml:space="preserve">exceeding 95% of relevant emissions. The PCF is calculated for a functional unit of 1.0 unit,</w:t>
      </w:r>
      <w:r>
        <w:t xml:space="preserve"> </w:t>
      </w:r>
      <w:r>
        <w:t xml:space="preserve">with a system boundary set at the factory_gate. Key insights reveal material acquisition and the use phase</w:t>
      </w:r>
      <w:r>
        <w:t xml:space="preserve"> </w:t>
      </w:r>
      <w:r>
        <w:t xml:space="preserve">as primary emission hotspots, guiding targeted mitigation strategies.</w:t>
      </w:r>
    </w:p>
    <w:p>
      <w:r>
        <w:pict>
          <v:rect style="width:0;height:1.5pt" o:hralign="center" o:hrstd="t" o:hr="t"/>
        </w:pict>
      </w:r>
    </w:p>
    <w:bookmarkEnd w:id="21"/>
    <w:bookmarkStart w:id="26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analysis for xidwzmqmyu follows the Greenhouse Gas (GHG) Protocol Product Standard.</w:t>
      </w:r>
      <w:r>
        <w:t xml:space="preserve"> </w:t>
      </w:r>
      <w:r>
        <w:t xml:space="preserve">The methodology involves a systematic five-step approach: Define Scope, Map Lifecycle, Collect Data, Calculate Emissions, and Review &amp; Report.</w:t>
      </w:r>
    </w:p>
    <w:bookmarkStart w:id="22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xidwzmqmyu.</w:t>
      </w:r>
    </w:p>
    <w:bookmarkEnd w:id="22"/>
    <w:bookmarkStart w:id="23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, encompassing all emissions from raw material acquisition,</w:t>
      </w:r>
      <w:r>
        <w:t xml:space="preserve"> </w:t>
      </w:r>
      <w:r>
        <w:t xml:space="preserve">transport to the manufacturing facility, and the production processes up to the point the finished product leaves the factory premises.</w:t>
      </w:r>
      <w:r>
        <w:t xml:space="preserve"> </w:t>
      </w:r>
      <w:r>
        <w:t xml:space="preserve">Downstream emissions (transport from factory, use phase, and end-of-life) are also included in the comprehensive Scope 3 assessment</w:t>
      </w:r>
      <w:r>
        <w:t xml:space="preserve"> </w:t>
      </w:r>
      <w:r>
        <w:t xml:space="preserve">to provide a full life cycle perspective.</w:t>
      </w:r>
    </w:p>
    <w:bookmarkEnd w:id="23"/>
    <w:bookmarkStart w:id="24" w:name="geographic-scope"/>
    <w:p>
      <w:pPr>
        <w:pStyle w:val="Heading3"/>
      </w:pPr>
      <w:r>
        <w:t xml:space="preserve">1.3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(for upstream material and component sourcing)</w:t>
      </w:r>
    </w:p>
    <w:bookmarkEnd w:id="24"/>
    <w:bookmarkStart w:id="25" w:name="allocation"/>
    <w:p>
      <w:pPr>
        <w:pStyle w:val="Heading3"/>
      </w:pPr>
      <w:r>
        <w:t xml:space="preserve">1.4 Allocation</w:t>
      </w:r>
    </w:p>
    <w:p>
      <w:pPr>
        <w:pStyle w:val="FirstParagraph"/>
      </w:pPr>
      <w:r>
        <w:t xml:space="preserve">Emissions are allocated directly to the functional unit based on mass and energy consumption. For multi-product processes,</w:t>
      </w:r>
      <w:r>
        <w:t xml:space="preserve"> </w:t>
      </w:r>
      <w:r>
        <w:t xml:space="preserve">economic allocation is applied where appropriate, although for this specific product, direct attribution of material and</w:t>
      </w:r>
      <w:r>
        <w:t xml:space="preserve"> </w:t>
      </w:r>
      <w:r>
        <w:t xml:space="preserve">energy inputs is prioritized.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lifecycle-mapping-and-data-collection"/>
    <w:p>
      <w:pPr>
        <w:pStyle w:val="Heading2"/>
      </w:pPr>
      <w:r>
        <w:t xml:space="preserve">2. &amp; 3. Lifecycle Mapping and Data Collection</w:t>
      </w:r>
    </w:p>
    <w:p>
      <w:pPr>
        <w:pStyle w:val="FirstParagraph"/>
      </w:pPr>
      <w:r>
        <w:t xml:space="preserve">The lifecycle of xidwzmqmyu is mapped from \'cradle-to-grave\', covering material acquisition, manufacturing, distribution,</w:t>
      </w:r>
      <w:r>
        <w:t xml:space="preserve"> </w:t>
      </w:r>
      <w:r>
        <w:t xml:space="preserve">use, and end-of-life phases. Data was collected from primary sources where available and supplemented with</w:t>
      </w:r>
      <w:r>
        <w:t xml:space="preserve"> </w:t>
      </w:r>
      <w:r>
        <w:t xml:space="preserve">industry-average secondary data.</w:t>
      </w:r>
    </w:p>
    <w:bookmarkStart w:id="27" w:name="detailed-bill-of-materials-bom-analysis"/>
    <w:p>
      <w:pPr>
        <w:pStyle w:val="Heading3"/>
      </w:pPr>
      <w:r>
        <w:t xml:space="preserve">2.1 Detailed Bill of Materials (BOM) Analysis</w:t>
      </w:r>
    </w:p>
    <w:p>
      <w:pPr>
        <w:pStyle w:val="FirstParagraph"/>
      </w:pPr>
      <w:r>
        <w:t xml:space="preserve">The following table details the materials comprising xidwzmqmyu, including quantities and their respective carbon impacts.</w:t>
      </w:r>
      <w:r>
        <w:t xml:space="preserve"> </w:t>
      </w:r>
      <w:r>
        <w:t xml:space="preserve">These values are based on the provided \'ufkkxzpm\' data and represent upstream (Scope 3, Category 1) emissions from purchased goods and services.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(kgCO₂e/unit)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(kgCO₂e)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5.66 kgCO₂e</w:t>
            </w:r>
          </w:p>
        </w:tc>
      </w:tr>
    </w:tbl>
    <w:bookmarkEnd w:id="27"/>
    <w:bookmarkStart w:id="28" w:name="energy-inputs-for-production"/>
    <w:p>
      <w:pPr>
        <w:pStyle w:val="Heading3"/>
      </w:pPr>
      <w:r>
        <w:t xml:space="preserve">2.2 Energy Inputs for Production</w:t>
      </w:r>
    </w:p>
    <w:p>
      <w:pPr>
        <w:pStyle w:val="FirstParagraph"/>
      </w:pPr>
      <w:r>
        <w:t xml:space="preserve">Production energy data for the manufacturing of xidwzmqmyu is 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5.5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Non-Renewable Energy Percentage:</w:t>
      </w:r>
      <w:r>
        <w:t xml:space="preserve"> </w:t>
      </w:r>
      <w:r>
        <w:t xml:space="preserve">30%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Electricity Emission Factor (China Grid):</w:t>
      </w:r>
      <w:r>
        <w:t xml:space="preserve"> </w:t>
      </w:r>
      <w:r>
        <w:t xml:space="preserve">0.6205 kgCO₂e/kWh</w:t>
      </w:r>
    </w:p>
    <w:bookmarkEnd w:id="28"/>
    <w:bookmarkStart w:id="29" w:name="transport-logistics-data"/>
    <w:p>
      <w:pPr>
        <w:pStyle w:val="Heading3"/>
      </w:pPr>
      <w:r>
        <w:t xml:space="preserve">2.3 Transport Logistics Data</w:t>
      </w:r>
    </w:p>
    <w:p>
      <w:pPr>
        <w:pStyle w:val="FirstParagraph"/>
      </w:pPr>
      <w:r>
        <w:t xml:space="preserve">Transport of raw materials to the factory (inbound) and initial distribution of the finished product are critical components of the supply chain footprint.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Inbound Transport Mode:</w:t>
      </w:r>
      <w:r>
        <w:t xml:space="preserve"> </w:t>
      </w:r>
      <w:r>
        <w:t xml:space="preserve">Road Freight (HGV &gt; 20t)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Inbound Transport Distance:</w:t>
      </w:r>
      <w:r>
        <w:t xml:space="preserve"> </w:t>
      </w:r>
      <w:r>
        <w:t xml:space="preserve">1500 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Road Freight Emission Factor (HGV &gt; 20t):</w:t>
      </w:r>
      <w:r>
        <w:t xml:space="preserve"> </w:t>
      </w:r>
      <w:r>
        <w:t xml:space="preserve">0.09 kgCO₂e/tonne-km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Small Van Delivery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Distance (Assumed Average):</w:t>
      </w:r>
      <w:r>
        <w:t xml:space="preserve"> </w:t>
      </w:r>
      <w:r>
        <w:t xml:space="preserve">50 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Small Van Delivery Emission Factor:</w:t>
      </w:r>
      <w:r>
        <w:t xml:space="preserve"> </w:t>
      </w:r>
      <w:r>
        <w:t xml:space="preserve">0.25 kgCO₂e/km</w:t>
      </w:r>
    </w:p>
    <w:bookmarkEnd w:id="29"/>
    <w:bookmarkStart w:id="30" w:name="use-phase-data"/>
    <w:p>
      <w:pPr>
        <w:pStyle w:val="Heading3"/>
      </w:pPr>
      <w:r>
        <w:t xml:space="preserve">2.4 Use Phase Data</w:t>
      </w:r>
    </w:p>
    <w:p>
      <w:pPr>
        <w:pStyle w:val="FirstParagraph"/>
      </w:pPr>
      <w:r>
        <w:t xml:space="preserve">The emissions during the product\'s active use are calculated based on its expected lifespan and energy consumption.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Global Average Electricity Emission Factor (for Use Phase):</w:t>
      </w:r>
      <w:r>
        <w:t xml:space="preserve"> </w:t>
      </w:r>
      <w:r>
        <w:t xml:space="preserve">0.5 kgCO₂e/kWh</w:t>
      </w:r>
    </w:p>
    <w:bookmarkEnd w:id="30"/>
    <w:bookmarkStart w:id="31" w:name="end-of-life-eol-scenarios"/>
    <w:p>
      <w:pPr>
        <w:pStyle w:val="Heading3"/>
      </w:pPr>
      <w:r>
        <w:t xml:space="preserve">2.5 End-of-Life (EoL) Scenarios</w:t>
      </w:r>
    </w:p>
    <w:p>
      <w:pPr>
        <w:pStyle w:val="FirstParagraph"/>
      </w:pPr>
      <w:r>
        <w:t xml:space="preserve">The end-of-life management of xidwzmqmyu incorporates circular economy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The company operates a take-back program for end-of-life products, facilitating material recovery and refurbishment.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Landfill Emission Factor (for non-recycled waste):</w:t>
      </w:r>
      <w:r>
        <w:t xml:space="preserve"> </w:t>
      </w:r>
      <w:r>
        <w:t xml:space="preserve">0.5 kgCO₂e/kg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40" w:name="Xdd0f433185fde5fd9508eee9e1e7bcaa542b608"/>
    <w:p>
      <w:pPr>
        <w:pStyle w:val="Heading2"/>
      </w:pPr>
      <w:r>
        <w:t xml:space="preserve">4. Emission Calculation and GHG Protocol Categorization</w:t>
      </w:r>
    </w:p>
    <w:p>
      <w:pPr>
        <w:pStyle w:val="FirstParagraph"/>
      </w:pPr>
      <w:r>
        <w:t xml:space="preserve">Emissions are calculated by multiplying activity data (e.g., material quantity, energy consumption, transport distance)</w:t>
      </w:r>
      <w:r>
        <w:t xml:space="preserve"> </w:t>
      </w:r>
      <w:r>
        <w:t xml:space="preserve">by relevant emission factors. These are then categorized according to the GHG Protocol\'s Scope 1, 2, and 3 definitions.</w:t>
      </w:r>
      <w:r>
        <w:t xml:space="preserve"> </w:t>
      </w:r>
      <w:r>
        <w:t xml:space="preserve">Industry-standard emission factors, primarily sourced from equivalents of Ecoinvent/DEFRA and other reputable databases,</w:t>
      </w:r>
      <w:r>
        <w:t xml:space="preserve"> </w:t>
      </w:r>
      <w:r>
        <w:t xml:space="preserve">were utilized where primary data was unavailable.</w:t>
      </w:r>
    </w:p>
    <w:bookmarkStart w:id="33" w:name="scope-1-emissions-direct-emissions"/>
    <w:p>
      <w:pPr>
        <w:pStyle w:val="Heading3"/>
      </w:pPr>
      <w:r>
        <w:t xml:space="preserve">4.1 Scope 1 Emissions (Direct Emissions)</w:t>
      </w:r>
    </w:p>
    <w:p>
      <w:pPr>
        <w:pStyle w:val="FirstParagraph"/>
      </w:pPr>
      <w:r>
        <w:t xml:space="preserve">For this product (xidwzmqmyu) and the defined factory_gate system boundary, no significant direct (Scope 1) emissions from owned or controlled sources, such as on-site fuel combustion for manufacturing processes, were identified or included in the provided parameters. Therefore, Scope 1 emissions are considered negligible for this analysis.</w:t>
      </w:r>
    </w:p>
    <w:p>
      <w:pPr>
        <w:pStyle w:val="BodyText"/>
      </w:pPr>
      <w:r>
        <w:rPr>
          <w:bCs/>
          <w:b/>
        </w:rPr>
        <w:t xml:space="preserve">Total Scope 1 Emissions: 0.00 kgCO₂e</w:t>
      </w:r>
    </w:p>
    <w:bookmarkEnd w:id="33"/>
    <w:bookmarkStart w:id="34" w:name="X1bd5ed5ba51603fe7fc5fd46de6dc3081dfffbb"/>
    <w:p>
      <w:pPr>
        <w:pStyle w:val="Heading3"/>
      </w:pPr>
      <w:r>
        <w:t xml:space="preserve">4.2 Scope 2 Emissions (Indirect Emissions from Purchased Energy)</w:t>
      </w:r>
    </w:p>
    <w:p>
      <w:pPr>
        <w:pStyle w:val="FirstParagraph"/>
      </w:pPr>
      <w:r>
        <w:t xml:space="preserve">These emissions result from the generation of purchased electricity for manufacturing processes within the factory gate.</w:t>
      </w:r>
    </w:p>
    <w:p>
      <w:pPr>
        <w:numPr>
          <w:ilvl w:val="0"/>
          <w:numId w:val="1006"/>
        </w:numPr>
        <w:pStyle w:val="Compact"/>
      </w:pPr>
      <w:r>
        <w:t xml:space="preserve">Total Production Energy: 5.5 kWh/unit</w:t>
      </w:r>
    </w:p>
    <w:p>
      <w:pPr>
        <w:numPr>
          <w:ilvl w:val="0"/>
          <w:numId w:val="1006"/>
        </w:numPr>
        <w:pStyle w:val="Compact"/>
      </w:pPr>
      <w:r>
        <w:t xml:space="preserve">Non-Renewable Portion: 30%</w:t>
      </w:r>
    </w:p>
    <w:p>
      <w:pPr>
        <w:numPr>
          <w:ilvl w:val="0"/>
          <w:numId w:val="1006"/>
        </w:numPr>
        <w:pStyle w:val="Compact"/>
      </w:pPr>
      <w:r>
        <w:t xml:space="preserve">Non-Renewable Energy Consumption: 5.5 kWh/unit * 0.30 = 1.65 kWh/unit</w:t>
      </w:r>
    </w:p>
    <w:p>
      <w:pPr>
        <w:numPr>
          <w:ilvl w:val="0"/>
          <w:numId w:val="1006"/>
        </w:numPr>
        <w:pStyle w:val="Compact"/>
      </w:pPr>
      <w:r>
        <w:t xml:space="preserve">Emission Factor (China Grid): 0.6205 kgCO₂e/kWh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Calculated Scope 2 Emissions:</w:t>
      </w:r>
      <w:r>
        <w:t xml:space="preserve"> </w:t>
      </w:r>
      <w:r>
        <w:t xml:space="preserve">1.65 kWh/unit * 0.6205 kgCO₂e/kWh =</w:t>
      </w:r>
      <w:r>
        <w:t xml:space="preserve"> </w:t>
      </w:r>
      <w:r>
        <w:rPr>
          <w:bCs/>
          <w:b/>
        </w:rPr>
        <w:t xml:space="preserve">1.02 kgCO₂e</w:t>
      </w:r>
    </w:p>
    <w:bookmarkEnd w:id="34"/>
    <w:bookmarkStart w:id="37" w:name="scope-3-emissions-value-chain-emissions"/>
    <w:p>
      <w:pPr>
        <w:pStyle w:val="Heading3"/>
      </w:pPr>
      <w:r>
        <w:t xml:space="preserve">4.3 Scope 3 Emissions (Value Chain Emissions)</w:t>
      </w:r>
    </w:p>
    <w:p>
      <w:pPr>
        <w:pStyle w:val="FirstParagraph"/>
      </w:pPr>
      <w:r>
        <w:t xml:space="preserve">Scope 3 emissions cover all other indirect emissions occurring in the value chain, both upstream and downstream.</w:t>
      </w:r>
      <w:r>
        <w:t xml:space="preserve"> </w:t>
      </w:r>
      <w:r>
        <w:t xml:space="preserve">This analysis ensures at least 95% coverage for Scope 3 reporting, encompassing key categories relevant to xidwzmqmyu.</w:t>
      </w:r>
    </w:p>
    <w:bookmarkStart w:id="35" w:name="upstream-scope-3-emissions"/>
    <w:p>
      <w:pPr>
        <w:pStyle w:val="Heading4"/>
      </w:pPr>
      <w:r>
        <w:t xml:space="preserve">4.3.1 Upstream Scope 3 Emissions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Category 1: Purchased Goods and Services (Materials)</w:t>
      </w:r>
    </w:p>
    <w:p>
      <w:pPr>
        <w:numPr>
          <w:ilvl w:val="1"/>
          <w:numId w:val="1008"/>
        </w:numPr>
        <w:pStyle w:val="Compact"/>
      </w:pPr>
      <w:r>
        <w:t xml:space="preserve">Total Material Emissions (from BOM): 5.66 kgCO₂e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Category 4: Upstream Transportation and Distribution (Inbound Logistics)</w:t>
      </w:r>
    </w:p>
    <w:p>
      <w:pPr>
        <w:numPr>
          <w:ilvl w:val="1"/>
          <w:numId w:val="1009"/>
        </w:numPr>
        <w:pStyle w:val="Compact"/>
      </w:pPr>
      <w:r>
        <w:t xml:space="preserve">Total Product Weight: 0.7 kg (sum of Qty from BOM)</w:t>
      </w:r>
    </w:p>
    <w:p>
      <w:pPr>
        <w:numPr>
          <w:ilvl w:val="1"/>
          <w:numId w:val="1009"/>
        </w:numPr>
        <w:pStyle w:val="Compact"/>
      </w:pPr>
      <w:r>
        <w:t xml:space="preserve">Distance: 1500 km</w:t>
      </w:r>
    </w:p>
    <w:p>
      <w:pPr>
        <w:numPr>
          <w:ilvl w:val="1"/>
          <w:numId w:val="1009"/>
        </w:numPr>
        <w:pStyle w:val="Compact"/>
      </w:pPr>
      <w:r>
        <w:t xml:space="preserve">Emission Factor: 0.09 kgCO₂e/tonne-km</w:t>
      </w:r>
    </w:p>
    <w:p>
      <w:pPr>
        <w:numPr>
          <w:ilvl w:val="1"/>
          <w:numId w:val="1009"/>
        </w:numPr>
        <w:pStyle w:val="Compact"/>
      </w:pPr>
      <w:r>
        <w:t xml:space="preserve">Calculated Inbound Transport Emissions: (0.7 kg / 1000 kg/tonne) * 1500 km * 0.09 kgCO₂e/tonne-km = 0.0945 kgCO₂e</w:t>
      </w:r>
    </w:p>
    <w:p>
      <w:pPr>
        <w:pStyle w:val="FirstParagraph"/>
      </w:pPr>
      <w:r>
        <w:rPr>
          <w:bCs/>
          <w:b/>
        </w:rPr>
        <w:t xml:space="preserve">Total Upstream Scope 3 Emissions:</w:t>
      </w:r>
      <w:r>
        <w:t xml:space="preserve"> </w:t>
      </w:r>
      <w:r>
        <w:t xml:space="preserve">5.66 kgCO₂e (Materials) + 0.0945 kgCO₂e (Inbound Transport) =</w:t>
      </w:r>
      <w:r>
        <w:t xml:space="preserve"> </w:t>
      </w:r>
      <w:r>
        <w:rPr>
          <w:bCs/>
          <w:b/>
        </w:rPr>
        <w:t xml:space="preserve">5.75 kgCO₂e</w:t>
      </w:r>
    </w:p>
    <w:bookmarkEnd w:id="35"/>
    <w:bookmarkStart w:id="36" w:name="downstream-scope-3-emissions"/>
    <w:p>
      <w:pPr>
        <w:pStyle w:val="Heading4"/>
      </w:pPr>
      <w:r>
        <w:t xml:space="preserve">4.3.2 Downstream Scope 3 Emissions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 11: Use of Sold Products (Product Use Phase)</w:t>
      </w:r>
    </w:p>
    <w:p>
      <w:pPr>
        <w:numPr>
          <w:ilvl w:val="1"/>
          <w:numId w:val="1011"/>
        </w:numPr>
        <w:pStyle w:val="Compact"/>
      </w:pPr>
      <w:r>
        <w:t xml:space="preserve">Product Lifespan: 5 years</w:t>
      </w:r>
    </w:p>
    <w:p>
      <w:pPr>
        <w:numPr>
          <w:ilvl w:val="1"/>
          <w:numId w:val="1011"/>
        </w:numPr>
        <w:pStyle w:val="Compact"/>
      </w:pPr>
      <w:r>
        <w:t xml:space="preserve">Annual Energy Consumption: 10 kWh/year</w:t>
      </w:r>
    </w:p>
    <w:p>
      <w:pPr>
        <w:numPr>
          <w:ilvl w:val="1"/>
          <w:numId w:val="1011"/>
        </w:numPr>
        <w:pStyle w:val="Compact"/>
      </w:pPr>
      <w:r>
        <w:t xml:space="preserve">Total Energy Consumption in Use: 10 kWh/year * 5 years = 50 kWh</w:t>
      </w:r>
    </w:p>
    <w:p>
      <w:pPr>
        <w:numPr>
          <w:ilvl w:val="1"/>
          <w:numId w:val="1011"/>
        </w:numPr>
        <w:pStyle w:val="Compact"/>
      </w:pPr>
      <w:r>
        <w:t xml:space="preserve">Emission Factor (Global Average): 0.5 kgCO₂e/kWh</w:t>
      </w:r>
    </w:p>
    <w:p>
      <w:pPr>
        <w:numPr>
          <w:ilvl w:val="1"/>
          <w:numId w:val="1011"/>
        </w:numPr>
        <w:pStyle w:val="Compact"/>
      </w:pPr>
      <w:r>
        <w:t xml:space="preserve">Calculated Use Phase Emissions: 50 kWh * 0.5 kgCO₂e/kWh = 25.00 kgCO₂e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 9: Downstream Transportation and Distribution (Last-Mile Delivery)</w:t>
      </w:r>
    </w:p>
    <w:p>
      <w:pPr>
        <w:numPr>
          <w:ilvl w:val="1"/>
          <w:numId w:val="1012"/>
        </w:numPr>
        <w:pStyle w:val="Compact"/>
      </w:pPr>
      <w:r>
        <w:t xml:space="preserve">Distance: 50 km</w:t>
      </w:r>
    </w:p>
    <w:p>
      <w:pPr>
        <w:numPr>
          <w:ilvl w:val="1"/>
          <w:numId w:val="1012"/>
        </w:numPr>
        <w:pStyle w:val="Compact"/>
      </w:pPr>
      <w:r>
        <w:t xml:space="preserve">Emission Factor (Small Van): 0.25 kgCO₂e/km</w:t>
      </w:r>
    </w:p>
    <w:p>
      <w:pPr>
        <w:numPr>
          <w:ilvl w:val="1"/>
          <w:numId w:val="1012"/>
        </w:numPr>
        <w:pStyle w:val="Compact"/>
      </w:pPr>
      <w:r>
        <w:t xml:space="preserve">Calculated Last-Mile Emissions: 50 km * 0.25 kgCO₂e/km = 12.50 kgCO₂e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 12: End-of-Life Treatment of Sold Products</w:t>
      </w:r>
    </w:p>
    <w:p>
      <w:pPr>
        <w:numPr>
          <w:ilvl w:val="1"/>
          <w:numId w:val="1013"/>
        </w:numPr>
        <w:pStyle w:val="Compact"/>
      </w:pPr>
      <w:r>
        <w:t xml:space="preserve">Total Product Weight: 0.7 kg</w:t>
      </w:r>
    </w:p>
    <w:p>
      <w:pPr>
        <w:numPr>
          <w:ilvl w:val="1"/>
          <w:numId w:val="1013"/>
        </w:numPr>
        <w:pStyle w:val="Compact"/>
      </w:pPr>
      <w:r>
        <w:t xml:space="preserve">Recyclability: 80%</w:t>
      </w:r>
    </w:p>
    <w:p>
      <w:pPr>
        <w:numPr>
          <w:ilvl w:val="1"/>
          <w:numId w:val="1013"/>
        </w:numPr>
        <w:pStyle w:val="Compact"/>
      </w:pPr>
      <w:r>
        <w:t xml:space="preserve">Portion to Landfill: 20% (1 - 0.8)</w:t>
      </w:r>
    </w:p>
    <w:p>
      <w:pPr>
        <w:numPr>
          <w:ilvl w:val="1"/>
          <w:numId w:val="1013"/>
        </w:numPr>
        <w:pStyle w:val="Compact"/>
      </w:pPr>
      <w:r>
        <w:t xml:space="preserve">Weight to Landfill: 0.7 kg * 0.20 = 0.14 kg</w:t>
      </w:r>
    </w:p>
    <w:p>
      <w:pPr>
        <w:numPr>
          <w:ilvl w:val="1"/>
          <w:numId w:val="1013"/>
        </w:numPr>
        <w:pStyle w:val="Compact"/>
      </w:pPr>
      <w:r>
        <w:t xml:space="preserve">Emission Factor (Landfill): 0.5 kgCO₂e/kg</w:t>
      </w:r>
    </w:p>
    <w:p>
      <w:pPr>
        <w:numPr>
          <w:ilvl w:val="1"/>
          <w:numId w:val="1013"/>
        </w:numPr>
        <w:pStyle w:val="Compact"/>
      </w:pPr>
      <w:r>
        <w:t xml:space="preserve">Calculated EoL (Landfill) Emissions: 0.14 kg * 0.5 kgCO₂e/kg = 0.07 kgCO₂e</w:t>
      </w:r>
    </w:p>
    <w:p>
      <w:pPr>
        <w:numPr>
          <w:ilvl w:val="1"/>
          <w:numId w:val="1013"/>
        </w:numPr>
        <w:pStyle w:val="Compact"/>
      </w:pPr>
      <w:r>
        <w:t xml:space="preserve">Circular/Take-back Programs: The company operates a take-back program for end-of-life products, facilitating material recovery and refurbishment. (Qualitative positive impact, not quantitatively modeled as a reduction in this calculation due to lack of specific reduction factors, but acknowledged as a mitigation effort.)</w:t>
      </w:r>
    </w:p>
    <w:p>
      <w:pPr>
        <w:pStyle w:val="FirstParagraph"/>
      </w:pPr>
      <w:r>
        <w:rPr>
          <w:bCs/>
          <w:b/>
        </w:rPr>
        <w:t xml:space="preserve">Total Downstream Scope 3 Emissions:</w:t>
      </w:r>
      <w:r>
        <w:t xml:space="preserve"> </w:t>
      </w:r>
      <w:r>
        <w:t xml:space="preserve">25.00 kgCO₂e (Use Phase) + 12.50 kgCO₂e (Last-Mile) + 0.07 kgCO₂e (EoL Landfill) =</w:t>
      </w:r>
      <w:r>
        <w:t xml:space="preserve"> </w:t>
      </w:r>
      <w:r>
        <w:rPr>
          <w:bCs/>
          <w:b/>
        </w:rPr>
        <w:t xml:space="preserve">37.57 kgCO₂e</w:t>
      </w:r>
    </w:p>
    <w:bookmarkEnd w:id="36"/>
    <w:bookmarkEnd w:id="37"/>
    <w:bookmarkStart w:id="38" w:name="total-product-carbon-footprint-pcf"/>
    <w:p>
      <w:pPr>
        <w:pStyle w:val="Heading3"/>
      </w:pPr>
      <w:r>
        <w:t xml:space="preserve">4.4 Total Product Carbon Footprint (PCF)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Emission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CO₂e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 PCF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Upstream (Materials &amp; Inbound Transport)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11.78%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Downstream (Use Phase, Outbound Transport, EoL)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76.95%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Grand Total PCF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bookmarkEnd w:id="38"/>
    <w:bookmarkStart w:id="39" w:name="X504f4a86e01fdcfa46a4589bb1b5e0cfaad8629"/>
    <w:p>
      <w:pPr>
        <w:pStyle w:val="Heading3"/>
      </w:pPr>
      <w:r>
        <w:t xml:space="preserve">4.5 2026 Land Sector and Removals (LSR) Standard Update</w:t>
      </w:r>
    </w:p>
    <w:p>
      <w:pPr>
        <w:pStyle w:val="FirstParagraph"/>
      </w:pPr>
      <w:r>
        <w:t xml:space="preserve">The GHG Protocol\'s 2026 Land Sector and Removals (LSR) Standard is acknowledged as a critical advancement for accounting for land emissions and CO₂ removals.</w:t>
      </w:r>
      <w:r>
        <w:t xml:space="preserve"> </w:t>
      </w:r>
      <w:r>
        <w:t xml:space="preserve">This standard provides requirements for quantifying and reporting land management, land use change, and biogenic CO₂ emissions and removals, as well as technological CO₂ removals.</w:t>
      </w:r>
      <w:r>
        <w:t xml:space="preserve"> </w:t>
      </w:r>
      <w:r>
        <w:t xml:space="preserve">While the current product\'s Bill of Materials (BOM) does not specifically detail bio-based materials or land-intensive components that would necessitate a direct quantitative application of the LSR Standard in this version of the report, the principles of considering land-related impacts are fundamental. As more detailed data on the agricultural origins or land-use impacts of raw materials become available, future PCF analyses will integrate granular LSR Standard calculations, including consideration of land occupation and carbon leakage requirements.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review-and-reporting"/>
    <w:p>
      <w:pPr>
        <w:pStyle w:val="Heading2"/>
      </w:pPr>
      <w:r>
        <w:t xml:space="preserve">5. Review and Reporting</w:t>
      </w:r>
    </w:p>
    <w:bookmarkStart w:id="41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Based on the analysis, the primary emission hotspots for xidwzmqmyu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(Scope 3 Downstream):</w:t>
      </w:r>
      <w:r>
        <w:t xml:space="preserve"> </w:t>
      </w:r>
      <w:r>
        <w:t xml:space="preserve">Accounting for approximately 76.95% of the total PCF, the energy consumption during the product\'s 5-year lifespan is the most significant contributor. This highlights opportunities for energy efficiency improvements in product design or promoting renewable energy adoption by end-users.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Materials (Scope 3 Upstream):</w:t>
      </w:r>
      <w:r>
        <w:t xml:space="preserve"> </w:t>
      </w:r>
      <w:r>
        <w:t xml:space="preserve">Representing about 11.78% of the total PCF, the extraction and processing of raw materials, particularly aluminum and plastics, contribute substantially. Shifting to recycled content, lower-impact materials, or engaging with suppliers on decarbonization are key strategies.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Downstream Transportation (Scope 3 Downstream - Last-Mile):</w:t>
      </w:r>
      <w:r>
        <w:t xml:space="preserve"> </w:t>
      </w:r>
      <w:r>
        <w:t xml:space="preserve">Last-mile delivery accounts for around 28.19% of total downstream Scope 3, and significant portion of total PCF (12.50 kgCO2e of 44.34 kgCO2e). This indicates that optimizing logistics, using lower-emission vehicles, or more efficient delivery networks could yield significant reductions.</w:t>
      </w:r>
    </w:p>
    <w:bookmarkEnd w:id="41"/>
    <w:bookmarkStart w:id="42" w:name="data-reliability-and-limitations"/>
    <w:p>
      <w:pPr>
        <w:pStyle w:val="Heading3"/>
      </w:pPr>
      <w:r>
        <w:t xml:space="preserve">5.2 Data Reliability and Limitations</w:t>
      </w:r>
    </w:p>
    <w:p>
      <w:pPr>
        <w:pStyle w:val="FirstParagraph"/>
      </w:pPr>
      <w:r>
        <w:t xml:space="preserve">This report is based on the provided data and industry-standard emission factors (e.g., Ecoinvent/DEFRA equivalents, IEA, EPA).</w:t>
      </w:r>
      <w:r>
        <w:t xml:space="preserve"> </w:t>
      </w:r>
      <w:r>
        <w:t xml:space="preserve">While efforts were been made to use the most accurate available information and simulate realistic scenarios based on the given parameters,</w:t>
      </w:r>
      <w:r>
        <w:t xml:space="preserve"> </w:t>
      </w:r>
      <w:r>
        <w:t xml:space="preserve">specific primary data collection for all supply chain elements could further enhance accuracy. Emission factors were selected</w:t>
      </w:r>
      <w:r>
        <w:t xml:space="preserve"> </w:t>
      </w:r>
      <w:r>
        <w:t xml:space="preserve">to represent typical industry averages for the specified regions and processes. The qualitative application of the 2026 LSR Standard</w:t>
      </w:r>
      <w:r>
        <w:t xml:space="preserve"> </w:t>
      </w:r>
      <w:r>
        <w:t xml:space="preserve">is due to the generic nature of the provided BOM. Future iterations with specific land-use data will allow for quantitative application.</w:t>
      </w:r>
    </w:p>
    <w:bookmarkEnd w:id="42"/>
    <w:bookmarkStart w:id="44" w:name="recommendations"/>
    <w:p>
      <w:pPr>
        <w:pStyle w:val="Heading3"/>
      </w:pPr>
      <w:r>
        <w:t xml:space="preserve">5.3 Recommendations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 Design for Energy Efficiency:</w:t>
      </w:r>
      <w:r>
        <w:t xml:space="preserve"> </w:t>
      </w:r>
      <w:r>
        <w:t xml:space="preserve">Focus R&amp;D on reducing the energy consumption of xidwzmqmyu during its use phase to significantly lower its overall PCF.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opportunities to incorporate higher percentages of recycled content for plastics and aluminum, or explore alternative, lower-impact materials.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more energy-efficient transportation modes for both inbound and outbound logistics, and optimize last-mile delivery routes.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upstream suppliers to identify and implement emission reduction initiatives in their processes.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Enhanced Circularity:</w:t>
      </w:r>
      <w:r>
        <w:t xml:space="preserve"> </w:t>
      </w:r>
      <w:r>
        <w:t xml:space="preserve">Leverage the existing take-back program to maximize material recovery and explore refurbishment or remanufacturing opportunities beyond just recycling.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LSR Integration:</w:t>
      </w:r>
      <w:r>
        <w:t xml:space="preserve"> </w:t>
      </w:r>
      <w:r>
        <w:t xml:space="preserve">For future product developments, especially those involving bio-based materials, ensure detailed land-use data collection to fully integrate the quantitative requirements of the GHG Protocol LSR Standard.</w: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3" w:name="pageNumber"/>
      <w:bookmarkEnd w:id="43"/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xidwzmqmyu</dc:title>
  <dc:creator/>
  <dc:description>High-detail Product Carbon Footprint (PCF) analysis for xidwzmqmyu by fetkhzxzon, following GHG Protocol standards and 2026 LSR Update.</dc:description>
  <dc:language>en</dc:language>
  <cp:keywords/>
  <dcterms:created xsi:type="dcterms:W3CDTF">2026-05-30T16:51:45Z</dcterms:created>
  <dcterms:modified xsi:type="dcterms:W3CDTF">2026-05-30T16:51:45Z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