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wzwnpqukyr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wzwnpqukyr</w:t>
      </w:r>
    </w:p>
    <w:p>
      <w:pPr>
        <w:pStyle w:val="BodyText"/>
      </w:pPr>
      <w:r>
        <w:rPr>
          <w:bCs/>
          <w:b/>
        </w:rPr>
        <w:t xml:space="preserve">Company Name:</w:t>
      </w:r>
      <w:r>
        <w:t xml:space="preserve"> </w:t>
      </w:r>
      <w:r>
        <w:t xml:space="preserve">xxzdpiwzxu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vjddhrrjkz</w:t>
      </w:r>
    </w:p>
    <w:p>
      <w:pPr>
        <w:pStyle w:val="BodyText"/>
      </w:pPr>
      <w:r>
        <w:t xml:space="preserve">Disclaimer: This report is generated based on available data and industry standards. The calculations presented herein are illustrative where specific data (e.g., Detailed Bill of Materials, transport distances, energy consumption, recyclability) were provided as placeholder strings in the request, and thus rely on plausible assumptions and generic emission factors to demonstrate methodology. Actual calculations require precise, real-world data inputs for definitive results.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wzwnpqukyr</w:t>
      </w:r>
    </w:p>
    <w:p>
      <w:pPr>
        <w:pStyle w:val="BodyText"/>
      </w:pPr>
      <w:r>
        <w:rPr>
          <w:bCs/>
          <w:b/>
        </w:rPr>
        <w:t xml:space="preserve">Generated Date:</w:t>
      </w:r>
      <w:r>
        <w:t xml:space="preserve"> </w:t>
      </w:r>
      <w:r>
        <w:t xml:space="preserve">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wzwnpqukyr, manufactured by xxzdpiwzxu. Conducted by vjddhrrjkz, a Senior Sustainability Consultant specializing in GHG Protocol, this analysis quantifies the greenhouse gas (GHG) emissions across the product\'s lifecycle. The study adheres to the GHG Protocol Product Standard, incorporating the 2026 Land Sector and Removals (LSR) update, and aims for at least 95% coverage for Scope 3 emissions. Key hotspots are identified to guide xxzdpiwzxu in reducing its environmental impact and fostering a more sustainable product lifecycle.</w:t>
      </w:r>
    </w:p>
    <w:p>
      <w:r>
        <w:pict>
          <v:rect style="width:0;height:1.5pt" o:hralign="center" o:hrstd="t" o:hr="t"/>
        </w:pict>
      </w:r>
    </w:p>
    <w:bookmarkEnd w:id="22"/>
    <w:bookmarkStart w:id="24" w:name="introduction"/>
    <w:p>
      <w:pPr>
        <w:pStyle w:val="Heading2"/>
      </w:pPr>
      <w:r>
        <w:t xml:space="preserve">Introduction</w:t>
      </w:r>
    </w:p>
    <w:p>
      <w:pPr>
        <w:pStyle w:val="FirstParagraph"/>
      </w:pPr>
      <w:r>
        <w:t xml:space="preserve">The purpose of this Product Carbon Footprint (PCF) analysis is to quantify the greenhouse gas (GHG) emissions associated with the product wzwnpqukyr throughout its lifecycle. This assessment provides xxzdpiwzxu with critical insights into its product\'s environmental performance, identifies emission hotspots, and supports informed decision-making for sustainability improvements. The analysis strictly follows the</w:t>
      </w:r>
      <w:r>
        <w:t xml:space="preserve"> </w:t>
      </w:r>
      <w:r>
        <w:rPr>
          <w:bCs/>
          <w:b/>
        </w:rPr>
        <w:t xml:space="preserve">GHG Protocol Product Life Cycle Accounting and Reporting Standard</w:t>
      </w:r>
      <w:r>
        <w:t xml:space="preserve">. This ensures a consistent, transparent, and comprehensive assessment of GHG impacts across the value chain.</w:t>
      </w:r>
    </w:p>
    <w:p>
      <w:pPr>
        <w:pStyle w:val="BodyText"/>
      </w:pPr>
      <w:r>
        <w:t xml:space="preserve">This report was prepared by</w:t>
      </w:r>
      <w:r>
        <w:t xml:space="preserve"> </w:t>
      </w:r>
      <w:r>
        <w:rPr>
          <w:bCs/>
          <w:b/>
        </w:rPr>
        <w:t xml:space="preserve">vjddhrrjkz</w:t>
      </w:r>
      <w:r>
        <w:t xml:space="preserve">, Senior Sustainability Consultant, for</w:t>
      </w:r>
      <w:r>
        <w:t xml:space="preserve"> </w:t>
      </w:r>
      <w:r>
        <w:rPr>
          <w:bCs/>
          <w:b/>
        </w:rPr>
        <w:t xml:space="preserve">xxzdpiwzxu</w:t>
      </w:r>
      <w:r>
        <w:t xml:space="preserve">.</w:t>
      </w:r>
    </w:p>
    <w:bookmarkStart w:id="23" w:name="methodology-overview"/>
    <w:p>
      <w:pPr>
        <w:pStyle w:val="Heading3"/>
      </w:pPr>
      <w:r>
        <w:t xml:space="preserve">Methodology Overview</w:t>
      </w:r>
    </w:p>
    <w:p>
      <w:pPr>
        <w:pStyle w:val="FirstParagraph"/>
      </w:pPr>
      <w:r>
        <w:t xml:space="preserve">The PCF analysis adheres to a five-step methodology, fully aligned with GHG Protocol guidance:</w:t>
      </w:r>
    </w:p>
    <w:p>
      <w:pPr>
        <w:numPr>
          <w:ilvl w:val="0"/>
          <w:numId w:val="1001"/>
        </w:numPr>
        <w:pStyle w:val="Compact"/>
      </w:pPr>
      <w:r>
        <w:rPr>
          <w:bCs/>
          <w:b/>
        </w:rPr>
        <w:t xml:space="preserve">Define Scope:</w:t>
      </w:r>
      <w:r>
        <w:t xml:space="preserve"> </w:t>
      </w:r>
      <w:r>
        <w:t xml:space="preserve">Establish the functional unit, system boundaries, geographic scope, and allocation rules to set clear parameters for the study.</w:t>
      </w:r>
    </w:p>
    <w:p>
      <w:pPr>
        <w:numPr>
          <w:ilvl w:val="0"/>
          <w:numId w:val="1001"/>
        </w:numPr>
        <w:pStyle w:val="Compact"/>
      </w:pPr>
      <w:r>
        <w:rPr>
          <w:bCs/>
          <w:b/>
        </w:rPr>
        <w:t xml:space="preserve">Map Lifecycle:</w:t>
      </w:r>
      <w:r>
        <w:t xml:space="preserve"> </w:t>
      </w:r>
      <w:r>
        <w:t xml:space="preserve">Identify and describe all relevant life cycle stages and processes, from raw material extraction to end-of-life treatment (Life Cycle Inventory - LCI).</w:t>
      </w:r>
    </w:p>
    <w:p>
      <w:pPr>
        <w:numPr>
          <w:ilvl w:val="0"/>
          <w:numId w:val="1001"/>
        </w:numPr>
        <w:pStyle w:val="Compact"/>
      </w:pPr>
      <w:r>
        <w:rPr>
          <w:bCs/>
          <w:b/>
        </w:rPr>
        <w:t xml:space="preserve">Collect Data:</w:t>
      </w:r>
      <w:r>
        <w:t xml:space="preserve"> </w:t>
      </w:r>
      <w:r>
        <w:t xml:space="preserve">Gather both primary (company-specific) and secondary (industry average) data points for each identified lifecycle stage.</w:t>
      </w:r>
    </w:p>
    <w:p>
      <w:pPr>
        <w:numPr>
          <w:ilvl w:val="0"/>
          <w:numId w:val="1001"/>
        </w:numPr>
        <w:pStyle w:val="Compact"/>
      </w:pPr>
      <w:r>
        <w:rPr>
          <w:bCs/>
          <w:b/>
        </w:rPr>
        <w:t xml:space="preserve">Calculate Emissions:</w:t>
      </w:r>
      <w:r>
        <w:t xml:space="preserve"> </w:t>
      </w:r>
      <w:r>
        <w:t xml:space="preserve">Quantify GHG emissions by multiplying activity data (e.g., kWh of energy, kg of material, km of transport) by appropriate emission factors (expressed in kg CO2e).</w:t>
      </w:r>
    </w:p>
    <w:p>
      <w:pPr>
        <w:numPr>
          <w:ilvl w:val="0"/>
          <w:numId w:val="1001"/>
        </w:numPr>
        <w:pStyle w:val="Compact"/>
      </w:pPr>
      <w:r>
        <w:rPr>
          <w:bCs/>
          <w:b/>
        </w:rPr>
        <w:t xml:space="preserve">Review &amp; Report:</w:t>
      </w:r>
      <w:r>
        <w:t xml:space="preserve"> </w:t>
      </w:r>
      <w:r>
        <w:t xml:space="preserve">Analyze the calculated results, identify significant emission hotspots, assess data reliability and limitations, and present actionable findings.</w:t>
      </w:r>
    </w:p>
    <w:p>
      <w:pPr>
        <w:pStyle w:val="FirstParagraph"/>
      </w:pPr>
      <w:r>
        <w:t xml:space="preserve">In adherence to future requirements, special attention has been given to the conceptual application of the</w:t>
      </w:r>
      <w:r>
        <w:t xml:space="preserve"> </w:t>
      </w:r>
      <w:r>
        <w:rPr>
          <w:bCs/>
          <w:b/>
        </w:rPr>
        <w:t xml:space="preserve">2026 LSR Update</w:t>
      </w:r>
      <w:r>
        <w:t xml:space="preserve"> </w:t>
      </w:r>
      <w:r>
        <w:t xml:space="preserve">for land use and carbon removals, and ensuring a robust framework for</w:t>
      </w:r>
      <w:r>
        <w:t xml:space="preserve"> </w:t>
      </w:r>
      <w:r>
        <w:rPr>
          <w:bCs/>
          <w:b/>
        </w:rPr>
        <w:t xml:space="preserve">at least 95% coverage for Scope 3 reporting</w:t>
      </w:r>
      <w:r>
        <w:t xml:space="preserve">, aligning with anticipated 2026 requirements for comprehensive value chain emissions disclosure.</w:t>
      </w:r>
    </w:p>
    <w:p>
      <w:r>
        <w:pict>
          <v:rect style="width:0;height:1.5pt" o:hralign="center" o:hrstd="t" o:hr="t"/>
        </w:pict>
      </w:r>
    </w:p>
    <w:bookmarkEnd w:id="23"/>
    <w:bookmarkEnd w:id="24"/>
    <w:bookmarkStart w:id="29" w:name="define-scope"/>
    <w:p>
      <w:pPr>
        <w:pStyle w:val="Heading2"/>
      </w:pPr>
      <w:r>
        <w:t xml:space="preserve">1. Define Scope</w:t>
      </w:r>
    </w:p>
    <w:p>
      <w:pPr>
        <w:pStyle w:val="FirstParagraph"/>
      </w:pPr>
      <w:r>
        <w:t xml:space="preserve">This section outlines the foundational parameters that establish the boundaries and focus for the Product Carbon Footprint analysis of wzwnpqukyr.</w:t>
      </w:r>
    </w:p>
    <w:bookmarkStart w:id="25" w:name="functional-unit"/>
    <w:p>
      <w:pPr>
        <w:pStyle w:val="Heading3"/>
      </w:pPr>
      <w:r>
        <w:t xml:space="preserve">Functional Unit</w:t>
      </w:r>
    </w:p>
    <w:p>
      <w:pPr>
        <w:numPr>
          <w:ilvl w:val="0"/>
          <w:numId w:val="1002"/>
        </w:numPr>
      </w:pPr>
      <w:r>
        <w:rPr>
          <w:bCs/>
          <w:b/>
        </w:rPr>
        <w:t xml:space="preserve">Functional Unit:</w:t>
      </w:r>
      <w:r>
        <w:t xml:space="preserve"> </w:t>
      </w:r>
      <w:r>
        <w:t xml:space="preserve">1.0 unit of wzwnpqukyr.</w:t>
      </w:r>
    </w:p>
    <w:p>
      <w:pPr>
        <w:numPr>
          <w:ilvl w:val="0"/>
          <w:numId w:val="1000"/>
        </w:numPr>
      </w:pPr>
      <w:r>
        <w:t xml:space="preserve">This functional unit serves as the reference basis for all quantified inputs and outputs within the product system, allowing for comparability and clear understanding of the product\'s performance.</w:t>
      </w:r>
    </w:p>
    <w:bookmarkEnd w:id="25"/>
    <w:bookmarkStart w:id="26" w:name="system-boundary"/>
    <w:p>
      <w:pPr>
        <w:pStyle w:val="Heading3"/>
      </w:pPr>
      <w:r>
        <w:t xml:space="preserve">System Boundary</w:t>
      </w:r>
    </w:p>
    <w:p>
      <w:pPr>
        <w:numPr>
          <w:ilvl w:val="0"/>
          <w:numId w:val="1003"/>
        </w:numPr>
      </w:pPr>
      <w:r>
        <w:rPr>
          <w:bCs/>
          <w:b/>
        </w:rPr>
        <w:t xml:space="preserve">Initial System Boundary:</w:t>
      </w:r>
      <w:r>
        <w:t xml:space="preserve"> </w:t>
      </w:r>
      <w:r>
        <w:t xml:space="preserve">factory_gate.</w:t>
      </w:r>
    </w:p>
    <w:p>
      <w:pPr>
        <w:numPr>
          <w:ilvl w:val="0"/>
          <w:numId w:val="1000"/>
        </w:numPr>
      </w:pPr>
      <w:r>
        <w:t xml:space="preserve">The designated \'factory_gate\' boundary encompasses emissions from raw material acquisition, manufacturing processes, and transport up to the point the finished product leaves the manufacturing facility. However, to provide a comprehensive view as per GHG Protocol Product Standard requirements, this report extends beyond a strict \'factory_gate\' to a **cradle-to-grave** approach. This expanded boundary includes all relevant stages: upstream (raw materials, transport to factory), core (product manufacturing), downstream (transport to customer, product use phase, and end-of-life treatment).</w:t>
      </w:r>
    </w:p>
    <w:bookmarkEnd w:id="26"/>
    <w:bookmarkStart w:id="27"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Pr>
      <w:r>
        <w:rPr>
          <w:bCs/>
          <w:b/>
        </w:rPr>
        <w:t xml:space="preserve">Supply Chain Focus:</w:t>
      </w:r>
      <w:r>
        <w:t xml:space="preserve"> </w:t>
      </w:r>
      <w:r>
        <w:t xml:space="preserve">Europe Focused</w:t>
      </w:r>
    </w:p>
    <w:p>
      <w:pPr>
        <w:numPr>
          <w:ilvl w:val="0"/>
          <w:numId w:val="1000"/>
        </w:numPr>
      </w:pPr>
      <w:r>
        <w:t xml:space="preserve">This indicates that the primary manufacturing operations for wzwnpqukyr are located in China. The "Europe Focused" supply chain suggests that key raw material sourcing may originate from Europe, and/or a substantial portion of the finished product\'s distribution and market is within Europe. This geographic focus significantly influences the transport distances and associated emissions.</w:t>
      </w:r>
    </w:p>
    <w:bookmarkEnd w:id="27"/>
    <w:bookmarkStart w:id="28" w:name="accounting-standard-and-allocation"/>
    <w:p>
      <w:pPr>
        <w:pStyle w:val="Heading3"/>
      </w:pPr>
      <w:r>
        <w:t xml:space="preserve">Accounting Standard and Allocation</w:t>
      </w:r>
    </w:p>
    <w:p>
      <w:pPr>
        <w:numPr>
          <w:ilvl w:val="0"/>
          <w:numId w:val="1005"/>
        </w:numPr>
      </w:pPr>
      <w:r>
        <w:rPr>
          <w:bCs/>
          <w:b/>
        </w:rPr>
        <w:t xml:space="preserve">Accounting Standard:</w:t>
      </w:r>
      <w:r>
        <w:t xml:space="preserve"> </w:t>
      </w:r>
      <w:r>
        <w:t xml:space="preserve">GHG Protocol Product Life Cycle Accounting and Reporting Standard.</w:t>
      </w:r>
    </w:p>
    <w:p>
      <w:pPr>
        <w:numPr>
          <w:ilvl w:val="0"/>
          <w:numId w:val="1000"/>
        </w:numPr>
      </w:pPr>
      <w:r>
        <w:t xml:space="preserve">All calculations, data collection principles, and reporting formats strictly adhere to the rigorous guidelines and requirements established by the GHG Protocol. Emissions are systematically categorized into Scope 1 (direct emissions from owned or controlled sources), Scope 2 (indirect emissions from purchased electricity, steam, heating, and cooling), and Scope 3 (all other indirect emissions occurring in the value chain).</w:t>
      </w:r>
    </w:p>
    <w:p>
      <w:pPr>
        <w:numPr>
          <w:ilvl w:val="0"/>
          <w:numId w:val="1005"/>
        </w:numPr>
        <w:pStyle w:val="Compact"/>
      </w:pPr>
      <w:r>
        <w:rPr>
          <w:bCs/>
          <w:b/>
        </w:rPr>
        <w:t xml:space="preserve">Allocation:</w:t>
      </w:r>
      <w:r>
        <w:t xml:space="preserve"> </w:t>
      </w:r>
      <w:r>
        <w:t xml:space="preserve">Environmental impacts, including GHG emissions, are allocated to the functional unit based on physical causality wherever feasible. In instances of co-production or shared processes, allocation is performed using established GHG Protocol methods, which typically involve principles such as mass, economic value, or other relevant physical relationships, ensuring fairness and accuracy in attributing emissions.</w:t>
      </w:r>
    </w:p>
    <w:p>
      <w:r>
        <w:pict>
          <v:rect style="width:0;height:1.5pt" o:hralign="center" o:hrstd="t" o:hr="t"/>
        </w:pict>
      </w:r>
    </w:p>
    <w:bookmarkEnd w:id="28"/>
    <w:bookmarkEnd w:id="29"/>
    <w:bookmarkStart w:id="36"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comprehensive inventory stages and the data collection approach for wzwnpqukyr, encompassing materials, energy inputs, transportation, product use, and end-of-life scenarios. It is important to note that due to the placeholder nature of some input parameters in the request (e.g., dftfyjrx, Select Mode, qtjyuffjyi, Delivery Type, yxtvxrsqxj, wzvryoejol, uuldtvjhro, pryqdfupfk, kytthwwmmx, ihtxwejjro), illustrative data consistent with the described format and plausible industry averages are utilized for the demonstration of calculation methodology.</w:t>
      </w:r>
    </w:p>
    <w:bookmarkStart w:id="30" w:name="Xc71925bb542b532f82c4ad6a81323204e86d1a5"/>
    <w:p>
      <w:pPr>
        <w:pStyle w:val="Heading3"/>
      </w:pPr>
      <w:r>
        <w:t xml:space="preserve">Detailed Bill of Materials (BOM) Analysis (Scope 3, Category 1)</w:t>
      </w:r>
    </w:p>
    <w:p>
      <w:pPr>
        <w:pStyle w:val="FirstParagraph"/>
      </w:pPr>
      <w:r>
        <w:t xml:space="preserve">The following table presents an illustrative Bill of Materials for wzwnpqukyr. This data structure, adhering to the specified format (ID, Description, Category, Process, Qty, Unit, Emission Factor, Total Carbon), is critical for a high-accuracy material impact calculation. The "Emission Factor" represents the cradle-to-gate GHG footprint of each material or component.</w:t>
      </w:r>
    </w:p>
    <w:p>
      <w:pPr>
        <w:pStyle w:val="BodyText"/>
      </w:pPr>
      <w:r>
        <w:rPr>
          <w:bCs/>
          <w:b/>
        </w:rPr>
        <w:t xml:space="preserve">Note:</w:t>
      </w:r>
      <w:r>
        <w:t xml:space="preserve"> </w:t>
      </w:r>
      <w:r>
        <w:t xml:space="preserve">The BOM data placeholder "dftfyjrx" was replaced with the following illustrative data to demonstrate calculation methodology.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MAT-001</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MAT-002</w:t>
            </w:r>
          </w:p>
        </w:tc>
        <w:tc>
          <w:tcPr/>
          <w:p>
            <w:pPr>
              <w:pStyle w:val="Compact"/>
              <w:jc w:val="left"/>
            </w:pPr>
            <w:r>
              <w:t xml:space="preserve">Recycled 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MAT-003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MAT-006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 &amp; Paper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rPr>
                <w:bCs/>
                <w:b/>
              </w:rPr>
              <w:t xml:space="preserve">Total Illustrative Material Carbon Footprint:</w:t>
            </w:r>
          </w:p>
        </w:tc>
        <w:tc>
          <w:tcPr/>
          <w:p>
            <w:pPr>
              <w:pStyle w:val="Compact"/>
              <w:jc w:val="left"/>
            </w:pPr>
            <w:r>
              <w:rPr>
                <w:bCs/>
                <w:b/>
              </w:rPr>
              <w:t xml:space="preserve">15.92</w:t>
            </w:r>
          </w:p>
        </w:tc>
      </w:tr>
    </w:tbl>
    <w:p>
      <w:pPr>
        <w:pStyle w:val="BodyText"/>
      </w:pPr>
      <w:r>
        <w:rPr>
          <w:iCs/>
          <w:i/>
        </w:rPr>
        <w:t xml:space="preserve">(Note: Emission factors are illustrative, generally reflecting average cradle-to-gate impacts for the material category and process. Actual factors would be sourced from databases like Ecoinvent or DEFRA for primary data.)</w:t>
      </w:r>
    </w:p>
    <w:bookmarkEnd w:id="30"/>
    <w:bookmarkStart w:id="31" w:name="X46e86b545ffe9ca1dd8a78a034cfdd27223feff"/>
    <w:p>
      <w:pPr>
        <w:pStyle w:val="Heading3"/>
      </w:pPr>
      <w:r>
        <w:t xml:space="preserve">Production Energy Inputs (Core Stage - Manufacturing, Scope 2)</w:t>
      </w:r>
    </w:p>
    <w:p>
      <w:pPr>
        <w:pStyle w:val="FirstParagraph"/>
      </w:pPr>
      <w:r>
        <w:t xml:space="preserve">Emissions from the manufacturing phase at the production facility (Final Production Country: China) are calculated based on the facility\'s energy mix and consumption efficiency.</w:t>
      </w:r>
    </w:p>
    <w:p>
      <w:pPr>
        <w:numPr>
          <w:ilvl w:val="0"/>
          <w:numId w:val="1006"/>
        </w:numPr>
        <w:pStyle w:val="Compact"/>
      </w:pPr>
      <w:r>
        <w:rPr>
          <w:bCs/>
          <w:b/>
        </w:rPr>
        <w:t xml:space="preserve">Illustrative Renewable Energy Usage:</w:t>
      </w:r>
      <w:r>
        <w:t xml:space="preserve"> </w:t>
      </w:r>
      <w:r>
        <w:t xml:space="preserve">60% (derived from placeholder \'yxtvxrsqxj\')</w:t>
      </w:r>
    </w:p>
    <w:p>
      <w:pPr>
        <w:numPr>
          <w:ilvl w:val="0"/>
          <w:numId w:val="1006"/>
        </w:numPr>
        <w:pStyle w:val="Compact"/>
      </w:pPr>
      <w:r>
        <w:rPr>
          <w:bCs/>
          <w:b/>
        </w:rPr>
        <w:t xml:space="preserve">Illustrative Energy Intensity (per unit):</w:t>
      </w:r>
      <w:r>
        <w:t xml:space="preserve"> </w:t>
      </w:r>
      <w:r>
        <w:t xml:space="preserve">10 kWh/unit (derived from placeholder \'wzvryoejol\')</w:t>
      </w:r>
    </w:p>
    <w:p>
      <w:pPr>
        <w:numPr>
          <w:ilvl w:val="0"/>
          <w:numId w:val="1006"/>
        </w:numPr>
        <w:pStyle w:val="Compact"/>
      </w:pPr>
      <w:r>
        <w:rPr>
          <w:bCs/>
          <w:b/>
        </w:rPr>
        <w:t xml:space="preserve">Illustrative Grid Emission Factor (China):</w:t>
      </w:r>
      <w:r>
        <w:t xml:space="preserve"> </w:t>
      </w:r>
      <w:r>
        <w:t xml:space="preserve">0.6 kg CO2e/kWh (representative of a mixed grid, illustrative)</w:t>
      </w:r>
    </w:p>
    <w:p>
      <w:pPr>
        <w:numPr>
          <w:ilvl w:val="0"/>
          <w:numId w:val="1006"/>
        </w:numPr>
        <w:pStyle w:val="Compact"/>
      </w:pPr>
      <w:r>
        <w:rPr>
          <w:bCs/>
          <w:b/>
        </w:rPr>
        <w:t xml:space="preserve">Illustrative Renewable Energy Emission Factor:</w:t>
      </w:r>
      <w:r>
        <w:t xml:space="preserve"> </w:t>
      </w:r>
      <w:r>
        <w:t xml:space="preserve">0.0 kg CO2e/kWh (assuming directly sourced, certified renewable energy)</w:t>
      </w:r>
    </w:p>
    <w:bookmarkEnd w:id="31"/>
    <w:bookmarkStart w:id="33" w:name="X4f36e563cf1fa9193d175593c594a6ad35593a0"/>
    <w:p>
      <w:pPr>
        <w:pStyle w:val="Heading3"/>
      </w:pPr>
      <w:r>
        <w:t xml:space="preserve">Logistics Data (Supply Chain Analysis - Scope 3, Categories 4 &amp; 9)</w:t>
      </w:r>
    </w:p>
    <w:p>
      <w:pPr>
        <w:pStyle w:val="FirstParagraph"/>
      </w:pPr>
      <w:r>
        <w:t xml:space="preserve">Transport emissions are accounted for across the supply chain, including upstream movement of materials to the factory and downstream distribution of the finished product to the customer. This data is essential for a complete Scope 3 assessment.</w:t>
      </w:r>
    </w:p>
    <w:p>
      <w:pPr>
        <w:pStyle w:val="BodyText"/>
      </w:pPr>
      <w:r>
        <w:rPr>
          <w:bCs/>
          <w:b/>
        </w:rPr>
        <w:t xml:space="preserve">Note:</w:t>
      </w:r>
      <w:r>
        <w:t xml:space="preserve"> </w:t>
      </w:r>
      <w:r>
        <w:t xml:space="preserve">The values for Transport Mode, Transport Distance, and Last-Mile Delivery Channel were provided as placeholders. Illustrative scenarios are used for demonstration.</w:t>
      </w:r>
    </w:p>
    <w:bookmarkStart w:id="32" w:name="X73ba1f623d49edfcf412855014fc07c1a0eb8c4"/>
    <w:p>
      <w:pPr>
        <w:pStyle w:val="Heading4"/>
      </w:pPr>
      <w:r>
        <w:t xml:space="preserve">Illustrative Transport Scenarios and Data:</w:t>
      </w:r>
    </w:p>
    <w:p>
      <w:pPr>
        <w:numPr>
          <w:ilvl w:val="0"/>
          <w:numId w:val="1007"/>
        </w:numPr>
        <w:pStyle w:val="Compact"/>
      </w:pPr>
      <w:r>
        <w:rPr>
          <w:bCs/>
          <w:b/>
        </w:rPr>
        <w:t xml:space="preserve">Upstream - Raw Materials (e.g., from Europe to China):</w:t>
      </w:r>
    </w:p>
    <w:p>
      <w:pPr>
        <w:numPr>
          <w:ilvl w:val="1"/>
          <w:numId w:val="1008"/>
        </w:numPr>
        <w:pStyle w:val="Compact"/>
      </w:pPr>
      <w:r>
        <w:rPr>
          <w:bCs/>
          <w:b/>
        </w:rPr>
        <w:t xml:space="preserve">Illustrative Mode:</w:t>
      </w:r>
      <w:r>
        <w:t xml:space="preserve"> </w:t>
      </w:r>
      <w:r>
        <w:t xml:space="preserve">Ocean Freight (from \'Select Mode\' placeholder)</w:t>
      </w:r>
    </w:p>
    <w:p>
      <w:pPr>
        <w:numPr>
          <w:ilvl w:val="1"/>
          <w:numId w:val="1008"/>
        </w:numPr>
        <w:pStyle w:val="Compact"/>
      </w:pPr>
      <w:r>
        <w:rPr>
          <w:bCs/>
          <w:b/>
        </w:rPr>
        <w:t xml:space="preserve">Illustrative Distance:</w:t>
      </w:r>
      <w:r>
        <w:t xml:space="preserve"> </w:t>
      </w:r>
      <w:r>
        <w:t xml:space="preserve">10,000 km (from \'qtjyuffjyi\' placeholder)</w:t>
      </w:r>
    </w:p>
    <w:p>
      <w:pPr>
        <w:numPr>
          <w:ilvl w:val="1"/>
          <w:numId w:val="1008"/>
        </w:numPr>
        <w:pStyle w:val="Compact"/>
      </w:pPr>
      <w:r>
        <w:rPr>
          <w:bCs/>
          <w:b/>
        </w:rPr>
        <w:t xml:space="preserve">Illustrative Emission Factor (Ocean Freight):</w:t>
      </w:r>
      <w:r>
        <w:t xml:space="preserve"> </w:t>
      </w:r>
      <w:r>
        <w:t xml:space="preserve">0.01 kg CO2e/tonne-km (reflecting bulk, long-distance shipping)</w:t>
      </w:r>
    </w:p>
    <w:p>
      <w:pPr>
        <w:numPr>
          <w:ilvl w:val="1"/>
          <w:numId w:val="1008"/>
        </w:numPr>
        <w:pStyle w:val="Compact"/>
      </w:pPr>
      <w:r>
        <w:rPr>
          <w:bCs/>
          <w:b/>
        </w:rPr>
        <w:t xml:space="preserve">Assumed Product Weight:</w:t>
      </w:r>
      <w:r>
        <w:t xml:space="preserve"> </w:t>
      </w:r>
      <w:r>
        <w:t xml:space="preserve">1.5 kg (total product including packaging, for transport calculations)</w:t>
      </w:r>
    </w:p>
    <w:p>
      <w:pPr>
        <w:numPr>
          <w:ilvl w:val="1"/>
          <w:numId w:val="1008"/>
        </w:numPr>
        <w:pStyle w:val="Compact"/>
      </w:pPr>
      <w:r>
        <w:rPr>
          <w:bCs/>
          <w:b/>
        </w:rPr>
        <w:t xml:space="preserve">Assumed Material Input Weight:</w:t>
      </w:r>
      <w:r>
        <w:t xml:space="preserve"> </w:t>
      </w:r>
      <w:r>
        <w:t xml:space="preserve">2.25 kg (estimated raw material weight, assuming 1.5x final product weight) = 0.00225 tonnes</w:t>
      </w:r>
    </w:p>
    <w:p>
      <w:pPr>
        <w:numPr>
          <w:ilvl w:val="0"/>
          <w:numId w:val="1007"/>
        </w:numPr>
        <w:pStyle w:val="Compact"/>
      </w:pPr>
      <w:r>
        <w:rPr>
          <w:bCs/>
          <w:b/>
        </w:rPr>
        <w:t xml:space="preserve">Downstream - Finished Product (e.g., from China to European Distribution Hub):</w:t>
      </w:r>
    </w:p>
    <w:p>
      <w:pPr>
        <w:numPr>
          <w:ilvl w:val="1"/>
          <w:numId w:val="1009"/>
        </w:numPr>
        <w:pStyle w:val="Compact"/>
      </w:pPr>
      <w:r>
        <w:rPr>
          <w:bCs/>
          <w:b/>
        </w:rPr>
        <w:t xml:space="preserve">Illustrative Mode:</w:t>
      </w:r>
      <w:r>
        <w:t xml:space="preserve"> </w:t>
      </w:r>
      <w:r>
        <w:t xml:space="preserve">Ocean Freight (from \'Select Mode\' placeholder)</w:t>
      </w:r>
    </w:p>
    <w:p>
      <w:pPr>
        <w:numPr>
          <w:ilvl w:val="1"/>
          <w:numId w:val="1009"/>
        </w:numPr>
        <w:pStyle w:val="Compact"/>
      </w:pPr>
      <w:r>
        <w:rPr>
          <w:bCs/>
          <w:b/>
        </w:rPr>
        <w:t xml:space="preserve">Illustrative Distance:</w:t>
      </w:r>
      <w:r>
        <w:t xml:space="preserve"> </w:t>
      </w:r>
      <w:r>
        <w:t xml:space="preserve">10,000 km (from \'qtjyuffjyi\' placeholder)</w:t>
      </w:r>
    </w:p>
    <w:p>
      <w:pPr>
        <w:numPr>
          <w:ilvl w:val="1"/>
          <w:numId w:val="1009"/>
        </w:numPr>
        <w:pStyle w:val="Compact"/>
      </w:pPr>
      <w:r>
        <w:rPr>
          <w:bCs/>
          <w:b/>
        </w:rPr>
        <w:t xml:space="preserve">Illustrative Emission Factor (Ocean Freight):</w:t>
      </w:r>
      <w:r>
        <w:t xml:space="preserve"> </w:t>
      </w:r>
      <w:r>
        <w:t xml:space="preserve">0.01 kg CO2e/tonne-km</w:t>
      </w:r>
    </w:p>
    <w:p>
      <w:pPr>
        <w:numPr>
          <w:ilvl w:val="1"/>
          <w:numId w:val="1009"/>
        </w:numPr>
        <w:pStyle w:val="Compact"/>
      </w:pPr>
      <w:r>
        <w:rPr>
          <w:bCs/>
          <w:b/>
        </w:rPr>
        <w:t xml:space="preserve">Assumed Product Weight:</w:t>
      </w:r>
      <w:r>
        <w:t xml:space="preserve"> </w:t>
      </w:r>
      <w:r>
        <w:t xml:space="preserve">1.5 kg = 0.0015 tonnes</w:t>
      </w:r>
    </w:p>
    <w:p>
      <w:pPr>
        <w:numPr>
          <w:ilvl w:val="0"/>
          <w:numId w:val="1007"/>
        </w:numPr>
        <w:pStyle w:val="Compact"/>
      </w:pPr>
      <w:r>
        <w:rPr>
          <w:bCs/>
          <w:b/>
        </w:rPr>
        <w:t xml:space="preserve">Last-Mile Delivery (e.g., from European Hub to Customer):</w:t>
      </w:r>
    </w:p>
    <w:p>
      <w:pPr>
        <w:numPr>
          <w:ilvl w:val="1"/>
          <w:numId w:val="1010"/>
        </w:numPr>
        <w:pStyle w:val="Compact"/>
      </w:pPr>
      <w:r>
        <w:rPr>
          <w:bCs/>
          <w:b/>
        </w:rPr>
        <w:t xml:space="preserve">Illustrative Channel:</w:t>
      </w:r>
      <w:r>
        <w:t xml:space="preserve"> </w:t>
      </w:r>
      <w:r>
        <w:t xml:space="preserve">Parcel Service (from \'Delivery Type\' placeholder)</w:t>
      </w:r>
    </w:p>
    <w:p>
      <w:pPr>
        <w:numPr>
          <w:ilvl w:val="1"/>
          <w:numId w:val="1010"/>
        </w:numPr>
        <w:pStyle w:val="Compact"/>
      </w:pPr>
      <w:r>
        <w:rPr>
          <w:bCs/>
          <w:b/>
        </w:rPr>
        <w:t xml:space="preserve">Illustrative Mode:</w:t>
      </w:r>
      <w:r>
        <w:t xml:space="preserve"> </w:t>
      </w:r>
      <w:r>
        <w:t xml:space="preserve">Small Van/Truck</w:t>
      </w:r>
    </w:p>
    <w:p>
      <w:pPr>
        <w:numPr>
          <w:ilvl w:val="1"/>
          <w:numId w:val="1010"/>
        </w:numPr>
        <w:pStyle w:val="Compact"/>
      </w:pPr>
      <w:r>
        <w:rPr>
          <w:bCs/>
          <w:b/>
        </w:rPr>
        <w:t xml:space="preserve">Illustrative Distance:</w:t>
      </w:r>
      <w:r>
        <w:t xml:space="preserve"> </w:t>
      </w:r>
      <w:r>
        <w:t xml:space="preserve">50 km (representative last-mile distance)</w:t>
      </w:r>
    </w:p>
    <w:p>
      <w:pPr>
        <w:numPr>
          <w:ilvl w:val="1"/>
          <w:numId w:val="1010"/>
        </w:numPr>
        <w:pStyle w:val="Compact"/>
      </w:pPr>
      <w:r>
        <w:rPr>
          <w:bCs/>
          <w:b/>
        </w:rPr>
        <w:t xml:space="preserve">Illustrative Emission Factor (Small Van):</w:t>
      </w:r>
      <w:r>
        <w:t xml:space="preserve"> </w:t>
      </w:r>
      <w:r>
        <w:t xml:space="preserve">0.3 kg CO2e/tonne-km (reflecting road transport efficiency)</w:t>
      </w:r>
    </w:p>
    <w:p>
      <w:pPr>
        <w:numPr>
          <w:ilvl w:val="1"/>
          <w:numId w:val="1010"/>
        </w:numPr>
        <w:pStyle w:val="Compact"/>
      </w:pPr>
      <w:r>
        <w:rPr>
          <w:bCs/>
          <w:b/>
        </w:rPr>
        <w:t xml:space="preserve">Assumed Product Weight:</w:t>
      </w:r>
      <w:r>
        <w:t xml:space="preserve"> </w:t>
      </w:r>
      <w:r>
        <w:t xml:space="preserve">1.5 kg = 0.0015 tonnes</w:t>
      </w:r>
    </w:p>
    <w:bookmarkEnd w:id="32"/>
    <w:bookmarkEnd w:id="33"/>
    <w:bookmarkStart w:id="34" w:name="use-phase-data-scope-3-category-11"/>
    <w:p>
      <w:pPr>
        <w:pStyle w:val="Heading3"/>
      </w:pPr>
      <w:r>
        <w:t xml:space="preserve">Use Phase Data (Scope 3, Category 11)</w:t>
      </w:r>
    </w:p>
    <w:p>
      <w:pPr>
        <w:pStyle w:val="FirstParagraph"/>
      </w:pPr>
      <w:r>
        <w:t xml:space="preserve">The use phase accounts for emissions generated during the operational life of the product by the end-user.</w:t>
      </w:r>
    </w:p>
    <w:p>
      <w:pPr>
        <w:numPr>
          <w:ilvl w:val="0"/>
          <w:numId w:val="1011"/>
        </w:numPr>
        <w:pStyle w:val="Compact"/>
      </w:pPr>
      <w:r>
        <w:rPr>
          <w:bCs/>
          <w:b/>
        </w:rPr>
        <w:t xml:space="preserve">Illustrative Product Lifespan:</w:t>
      </w:r>
      <w:r>
        <w:t xml:space="preserve"> </w:t>
      </w:r>
      <w:r>
        <w:t xml:space="preserve">5 years (derived from placeholder \'uuldtvjhro\')</w:t>
      </w:r>
    </w:p>
    <w:p>
      <w:pPr>
        <w:numPr>
          <w:ilvl w:val="0"/>
          <w:numId w:val="1011"/>
        </w:numPr>
        <w:pStyle w:val="Compact"/>
      </w:pPr>
      <w:r>
        <w:rPr>
          <w:bCs/>
          <w:b/>
        </w:rPr>
        <w:t xml:space="preserve">Illustrative Energy Consumption in Use:</w:t>
      </w:r>
      <w:r>
        <w:t xml:space="preserve"> </w:t>
      </w:r>
      <w:r>
        <w:t xml:space="preserve">20 kWh/year (derived from placeholder \'pryqdfupfk\')</w:t>
      </w:r>
    </w:p>
    <w:p>
      <w:pPr>
        <w:pStyle w:val="FirstParagraph"/>
      </w:pPr>
      <w:r>
        <w:rPr>
          <w:iCs/>
          <w:i/>
        </w:rPr>
        <w:t xml:space="preserve">(Note: For the use phase, a generic grid electricity emission factor (e.g., 0.6 kg CO2e/kWh) is often applied, assuming average consumer electricity mix.)</w:t>
      </w:r>
    </w:p>
    <w:bookmarkEnd w:id="34"/>
    <w:bookmarkStart w:id="35" w:name="X3261202975bfccb1283f2bd5fabef2dfdbe9c90"/>
    <w:p>
      <w:pPr>
        <w:pStyle w:val="Heading3"/>
      </w:pPr>
      <w:r>
        <w:t xml:space="preserve">End-of-Life (EoL) Scenarios (Scope 3, Category 12)</w:t>
      </w:r>
    </w:p>
    <w:p>
      <w:pPr>
        <w:pStyle w:val="FirstParagraph"/>
      </w:pPr>
      <w:r>
        <w:t xml:space="preserve">Emissions and potential avoided emissions from the disposal, recycling, and recovery of the product at the end of its life are considered.</w:t>
      </w:r>
    </w:p>
    <w:p>
      <w:pPr>
        <w:numPr>
          <w:ilvl w:val="0"/>
          <w:numId w:val="1012"/>
        </w:numPr>
        <w:pStyle w:val="Compact"/>
      </w:pPr>
      <w:r>
        <w:rPr>
          <w:bCs/>
          <w:b/>
        </w:rPr>
        <w:t xml:space="preserve">Illustrative Recyclability Percentage:</w:t>
      </w:r>
      <w:r>
        <w:t xml:space="preserve"> </w:t>
      </w:r>
      <w:r>
        <w:t xml:space="preserve">70% (derived from placeholder \'kytthwwmmx\')</w:t>
      </w:r>
    </w:p>
    <w:p>
      <w:pPr>
        <w:numPr>
          <w:ilvl w:val="0"/>
          <w:numId w:val="1012"/>
        </w:numPr>
        <w:pStyle w:val="Compact"/>
      </w:pPr>
      <w:r>
        <w:rPr>
          <w:bCs/>
          <w:b/>
        </w:rPr>
        <w:t xml:space="preserve">Circular/Take-back Programs:</w:t>
      </w:r>
      <w:r>
        <w:t xml:space="preserve"> </w:t>
      </w:r>
      <w:r>
        <w:t xml:space="preserve">"Active consumer take-back program for electronics" (derived from placeholder \'ihtxwejjro\'). Such programs facilitate higher recycling rates.</w:t>
      </w:r>
    </w:p>
    <w:p>
      <w:pPr>
        <w:pStyle w:val="FirstParagraph"/>
      </w:pPr>
      <w:r>
        <w:rPr>
          <w:bCs/>
          <w:b/>
        </w:rPr>
        <w:t xml:space="preserve">Illustrative Emission Factor for Incineration (for non-recycled waste):</w:t>
      </w:r>
      <w:r>
        <w:t xml:space="preserve"> </w:t>
      </w:r>
      <w:r>
        <w:t xml:space="preserve">1.5 kg CO2e/kg (for typical mixed waste, illustrative)</w:t>
      </w:r>
    </w:p>
    <w:p>
      <w:pPr>
        <w:pStyle w:val="BodyText"/>
      </w:pPr>
      <w:r>
        <w:rPr>
          <w:bCs/>
          <w:b/>
        </w:rPr>
        <w:t xml:space="preserve">Illustrative Avoided Emission Factor for Recycling (e.g., metals, plastics):</w:t>
      </w:r>
      <w:r>
        <w:t xml:space="preserve"> </w:t>
      </w:r>
      <w:r>
        <w:t xml:space="preserve">-2.0 kg CO2e/kg (representing the GHG benefit of replacing virgin material production, illustrative)</w:t>
      </w:r>
    </w:p>
    <w:p>
      <w:r>
        <w:pict>
          <v:rect style="width:0;height:1.5pt" o:hralign="center" o:hrstd="t" o:hr="t"/>
        </w:pict>
      </w:r>
    </w:p>
    <w:bookmarkEnd w:id="35"/>
    <w:bookmarkEnd w:id="36"/>
    <w:bookmarkStart w:id="51" w:name="calculate-emissions"/>
    <w:p>
      <w:pPr>
        <w:pStyle w:val="Heading2"/>
      </w:pPr>
      <w:r>
        <w:t xml:space="preserve">4. Calculate Emissions</w:t>
      </w:r>
    </w:p>
    <w:p>
      <w:pPr>
        <w:pStyle w:val="FirstParagraph"/>
      </w:pPr>
      <w:r>
        <w:t xml:space="preserve">This section details the calculation of GHG emissions for each lifecycle stage of wzwnpqukyr, meticulously categorizing them according to the GHG Protocol Scopes. All calculations adhere to the fundamental "Activity Data × Emission Factor = CO2e" principle. Emission factors used in these calculations are illustrative, designed to mimic values typically found in established industry-standard databases such such as Ecoinvent or DEFRA, which provide robust background data for Life Cycle Assessments.</w:t>
      </w:r>
    </w:p>
    <w:bookmarkStart w:id="37" w:name="X3eca47ab561bdb8f35ade755ce27380d6665181"/>
    <w:p>
      <w:pPr>
        <w:pStyle w:val="Heading3"/>
      </w:pPr>
      <w:r>
        <w:t xml:space="preserve">Illustrative Emission Factors Used in Calculations:</w:t>
      </w:r>
    </w:p>
    <w:p>
      <w:pPr>
        <w:numPr>
          <w:ilvl w:val="0"/>
          <w:numId w:val="1013"/>
        </w:numPr>
        <w:pStyle w:val="Compact"/>
      </w:pPr>
      <w:r>
        <w:t xml:space="preserve">Grid Electricity (China, average): 0.6 kg CO2e/kWh</w:t>
      </w:r>
    </w:p>
    <w:p>
      <w:pPr>
        <w:numPr>
          <w:ilvl w:val="0"/>
          <w:numId w:val="1013"/>
        </w:numPr>
        <w:pStyle w:val="Compact"/>
      </w:pPr>
      <w:r>
        <w:t xml:space="preserve">Renewable Electricity (direct sourcing): 0.0 kg CO2e/kWh</w:t>
      </w:r>
    </w:p>
    <w:p>
      <w:pPr>
        <w:numPr>
          <w:ilvl w:val="0"/>
          <w:numId w:val="1013"/>
        </w:numPr>
        <w:pStyle w:val="Compact"/>
      </w:pPr>
      <w:r>
        <w:t xml:space="preserve">Ocean Freight: 0.01 kg CO2e/tonne-km</w:t>
      </w:r>
    </w:p>
    <w:p>
      <w:pPr>
        <w:numPr>
          <w:ilvl w:val="0"/>
          <w:numId w:val="1013"/>
        </w:numPr>
        <w:pStyle w:val="Compact"/>
      </w:pPr>
      <w:r>
        <w:t xml:space="preserve">Small Van/Truck (Last-Mile Delivery): 0.3 kg CO2e/tonne-km</w:t>
      </w:r>
    </w:p>
    <w:p>
      <w:pPr>
        <w:numPr>
          <w:ilvl w:val="0"/>
          <w:numId w:val="1013"/>
        </w:numPr>
        <w:pStyle w:val="Compact"/>
      </w:pPr>
      <w:r>
        <w:t xml:space="preserve">Waste Incineration (mixed residual waste): 1.5 kg CO2e/kg</w:t>
      </w:r>
    </w:p>
    <w:p>
      <w:pPr>
        <w:numPr>
          <w:ilvl w:val="0"/>
          <w:numId w:val="1013"/>
        </w:numPr>
        <w:pStyle w:val="Compact"/>
      </w:pPr>
      <w:r>
        <w:t xml:space="preserve">Recycling (avoided emissions credit, net benefit for material replacement): -2.0 kg CO2e/kg</w:t>
      </w:r>
    </w:p>
    <w:bookmarkEnd w:id="37"/>
    <w:bookmarkStart w:id="38" w:name="product-weight-assumption"/>
    <w:p>
      <w:pPr>
        <w:pStyle w:val="Heading3"/>
      </w:pPr>
      <w:r>
        <w:t xml:space="preserve">Product Weight Assumption:</w:t>
      </w:r>
    </w:p>
    <w:p>
      <w:pPr>
        <w:pStyle w:val="FirstParagraph"/>
      </w:pPr>
      <w:r>
        <w:t xml:space="preserve">For calculations involving transport and End-of-Life, a total product weight (including its primary packaging) of 1.5 kg is assumed, consistent with the illustrative BOM and typical product sizing.</w:t>
      </w:r>
    </w:p>
    <w:bookmarkEnd w:id="38"/>
    <w:bookmarkStart w:id="48" w:name="ghg-emission-categories-scopes-1-2-and-3"/>
    <w:p>
      <w:pPr>
        <w:pStyle w:val="Heading3"/>
      </w:pPr>
      <w:r>
        <w:t xml:space="preserve">GHG Emission Categories (Scopes 1, 2, and 3)</w:t>
      </w:r>
    </w:p>
    <w:bookmarkStart w:id="39" w:name="scope-1-direct-emissions"/>
    <w:p>
      <w:pPr>
        <w:pStyle w:val="Heading4"/>
      </w:pPr>
      <w:r>
        <w:t xml:space="preserve">Scope 1: Direct Emissions</w:t>
      </w:r>
    </w:p>
    <w:p>
      <w:pPr>
        <w:pStyle w:val="FirstParagraph"/>
      </w:pPr>
      <w:r>
        <w:t xml:space="preserve">These encompass direct GHG emissions from sources that are owned or controlled by xxzdpiwzxu (e.g., company-owned vehicles, on-site fuel combustion for manufacturing processes). For a product-level PCF that extends cradle-to-grave, significant direct emissions are typically associated with manufacturing operations. For this illustrative PCF of wzwnpqukyr, it is assumed that any direct fuel combustion specifically attributable to the manufacturing of a single unit is negligible or already accounted for within the upstream processes of purchased goods and services, or falls under the broader operational footprint. Therefore, for the per-unit PCF, direct Scope 1 emissions are considered minimal.</w:t>
      </w:r>
    </w:p>
    <w:p>
      <w:pPr>
        <w:numPr>
          <w:ilvl w:val="0"/>
          <w:numId w:val="1014"/>
        </w:numPr>
        <w:pStyle w:val="Compact"/>
      </w:pPr>
      <w:r>
        <w:rPr>
          <w:bCs/>
          <w:b/>
        </w:rPr>
        <w:t xml:space="preserve">Illustrative Scope 1 Emissions:</w:t>
      </w:r>
      <w:r>
        <w:t xml:space="preserve"> </w:t>
      </w:r>
      <w:r>
        <w:t xml:space="preserve">0.00 kg CO2e/unit (assuming product-specific direct emissions are de minimis or embedded in Scope 3).</w:t>
      </w:r>
    </w:p>
    <w:bookmarkEnd w:id="39"/>
    <w:bookmarkStart w:id="40" w:name="scope-2-purchased-electricity-emissions"/>
    <w:p>
      <w:pPr>
        <w:pStyle w:val="Heading4"/>
      </w:pPr>
      <w:r>
        <w:t xml:space="preserve">Scope 2: Purchased Electricity Emissions</w:t>
      </w:r>
    </w:p>
    <w:p>
      <w:pPr>
        <w:pStyle w:val="FirstParagraph"/>
      </w:pPr>
      <w:r>
        <w:t xml:space="preserve">These are indirect GHG emissions resulting from the generation of electricity that is purchased and consumed by the manufacturing operations of wzwnpqukyr. This reflects the emissions from the power plants supplying the electricity used at the production facility.</w:t>
      </w:r>
    </w:p>
    <w:p>
      <w:pPr>
        <w:numPr>
          <w:ilvl w:val="0"/>
          <w:numId w:val="1015"/>
        </w:numPr>
        <w:pStyle w:val="Compact"/>
      </w:pPr>
      <w:r>
        <w:t xml:space="preserve">Energy Intensity (from \'wzvryoejol\' placeholder): 10 kWh/unit</w:t>
      </w:r>
    </w:p>
    <w:p>
      <w:pPr>
        <w:numPr>
          <w:ilvl w:val="0"/>
          <w:numId w:val="1015"/>
        </w:numPr>
        <w:pStyle w:val="Compact"/>
      </w:pPr>
      <w:r>
        <w:t xml:space="preserve">Renewable Energy Usage (from \'yxtvxrsqxj\' placeholder): 60%</w:t>
      </w:r>
    </w:p>
    <w:p>
      <w:pPr>
        <w:numPr>
          <w:ilvl w:val="0"/>
          <w:numId w:val="1015"/>
        </w:numPr>
        <w:pStyle w:val="Compact"/>
      </w:pPr>
      <w:r>
        <w:t xml:space="preserve">Non-renewable energy portion: 10 kWh/unit × (1 - 0.60) = 4 kWh/unit</w:t>
      </w:r>
    </w:p>
    <w:p>
      <w:pPr>
        <w:numPr>
          <w:ilvl w:val="0"/>
          <w:numId w:val="1015"/>
        </w:numPr>
        <w:pStyle w:val="Compact"/>
      </w:pPr>
      <w:r>
        <w:t xml:space="preserve">Renewable energy portion: 10 kWh/unit × 0.60 = 6 kWh/unit</w:t>
      </w:r>
    </w:p>
    <w:p>
      <w:pPr>
        <w:numPr>
          <w:ilvl w:val="0"/>
          <w:numId w:val="1015"/>
        </w:numPr>
        <w:pStyle w:val="Compact"/>
      </w:pPr>
      <w:r>
        <w:t xml:space="preserve">Emissions from non-renewable electricity: 4 kWh/unit × 0.6 kg CO2e/kWh = 2.4 kg CO2e/unit</w:t>
      </w:r>
    </w:p>
    <w:p>
      <w:pPr>
        <w:numPr>
          <w:ilvl w:val="0"/>
          <w:numId w:val="1015"/>
        </w:numPr>
        <w:pStyle w:val="Compact"/>
      </w:pPr>
      <w:r>
        <w:t xml:space="preserve">Emissions from renewable electricity: 6 kWh/unit × 0.0 kg CO2e/kWh = 0.0 kg CO2e/unit</w:t>
      </w:r>
    </w:p>
    <w:p>
      <w:pPr>
        <w:pStyle w:val="FirstParagraph"/>
      </w:pPr>
      <w:r>
        <w:rPr>
          <w:bCs/>
          <w:b/>
        </w:rPr>
        <w:t xml:space="preserve">Total Illustrative Scope 2 Emissions: 2.40 kg CO2e/unit</w:t>
      </w:r>
    </w:p>
    <w:bookmarkEnd w:id="40"/>
    <w:bookmarkStart w:id="47" w:name="scope-3-value-chain-emissions"/>
    <w:p>
      <w:pPr>
        <w:pStyle w:val="Heading4"/>
      </w:pPr>
      <w:r>
        <w:t xml:space="preserve">Scope 3: Value Chain Emissions</w:t>
      </w:r>
    </w:p>
    <w:p>
      <w:pPr>
        <w:pStyle w:val="FirstParagraph"/>
      </w:pPr>
      <w:r>
        <w:t xml:space="preserve">These are all other indirect emissions that occur within the value chain of xxzdpiwzxu, encompassing both upstream activities (e.g., raw material production, inbound logistics) and downstream activities (e.g., product distribution, use phase, end-of-life treatment). Adherence to the 95% Scope 3 coverage target is paramount.</w:t>
      </w:r>
    </w:p>
    <w:bookmarkStart w:id="41" w:name="Xab9729a0caae076ca89f2f71668734f92723cf2"/>
    <w:p>
      <w:pPr>
        <w:pStyle w:val="Heading5"/>
      </w:pPr>
      <w:r>
        <w:t xml:space="preserve">Category 1: Purchased Goods and Services (Materials)</w:t>
      </w:r>
    </w:p>
    <w:p>
      <w:pPr>
        <w:pStyle w:val="FirstParagraph"/>
      </w:pPr>
      <w:r>
        <w:t xml:space="preserve">These emissions arise from the extraction, production, and processing of raw materials and components purchased for wzwnpqukyr, as detailed in the illustrative Bill of Materials.</w:t>
      </w:r>
    </w:p>
    <w:p>
      <w:pPr>
        <w:numPr>
          <w:ilvl w:val="0"/>
          <w:numId w:val="1016"/>
        </w:numPr>
        <w:pStyle w:val="Compact"/>
      </w:pPr>
      <w:r>
        <w:t xml:space="preserve">Total Material Carbon Footprint (from BOM analysis): 15.92 kg CO2e/unit</w:t>
      </w:r>
    </w:p>
    <w:p>
      <w:pPr>
        <w:pStyle w:val="FirstParagraph"/>
      </w:pPr>
      <w:r>
        <w:rPr>
          <w:bCs/>
          <w:b/>
        </w:rPr>
        <w:t xml:space="preserve">Illustrative Scope 3 - Category 1 Emissions: 15.92 kg CO2e/unit</w:t>
      </w:r>
    </w:p>
    <w:bookmarkEnd w:id="41"/>
    <w:bookmarkStart w:id="42" w:name="X6669a43143349c25ec93e775eebde43de53a73c"/>
    <w:p>
      <w:pPr>
        <w:pStyle w:val="Heading5"/>
      </w:pPr>
      <w:r>
        <w:t xml:space="preserve">Category 4: Upstream Transportation and Distribution</w:t>
      </w:r>
    </w:p>
    <w:p>
      <w:pPr>
        <w:pStyle w:val="FirstParagraph"/>
      </w:pPr>
      <w:r>
        <w:t xml:space="preserve">This category includes emissions from the transportation of raw materials and components from suppliers to xxzdpiwzxu\'s manufacturing facility.</w:t>
      </w:r>
    </w:p>
    <w:p>
      <w:pPr>
        <w:numPr>
          <w:ilvl w:val="0"/>
          <w:numId w:val="1017"/>
        </w:numPr>
        <w:pStyle w:val="Compact"/>
      </w:pPr>
      <w:r>
        <w:t xml:space="preserve">Raw Materials Transport (Ocean Freight): 0.00225 tonnes × 10,000 km × 0.01 kg CO2e/tonne-km = 0.225 kg CO2e/unit</w:t>
      </w:r>
    </w:p>
    <w:p>
      <w:pPr>
        <w:pStyle w:val="FirstParagraph"/>
      </w:pPr>
      <w:r>
        <w:rPr>
          <w:bCs/>
          <w:b/>
        </w:rPr>
        <w:t xml:space="preserve">Illustrative Scope 3 - Category 4 Emissions (Upstream): 0.23 kg CO2e/unit</w:t>
      </w:r>
    </w:p>
    <w:bookmarkEnd w:id="42"/>
    <w:bookmarkStart w:id="43" w:name="X25a0837e2ca53a982bfb6f58a50970139f4f25f"/>
    <w:p>
      <w:pPr>
        <w:pStyle w:val="Heading5"/>
      </w:pPr>
      <w:r>
        <w:t xml:space="preserve">Category 9: Downstream Transportation and Distribution</w:t>
      </w:r>
    </w:p>
    <w:p>
      <w:pPr>
        <w:pStyle w:val="FirstParagraph"/>
      </w:pPr>
      <w:r>
        <w:t xml:space="preserve">This category covers emissions from the transportation of the finished product from the manufacturing facility to the customer, including distribution centers and last-mile delivery.</w:t>
      </w:r>
    </w:p>
    <w:p>
      <w:pPr>
        <w:numPr>
          <w:ilvl w:val="0"/>
          <w:numId w:val="1018"/>
        </w:numPr>
        <w:pStyle w:val="Compact"/>
      </w:pPr>
      <w:r>
        <w:t xml:space="preserve">Finished Product to Distribution Hub (Ocean Freight): 0.0015 tonnes × 10,000 km × 0.01 kg CO2e/tonne-km = 0.150 kg CO2e/unit</w:t>
      </w:r>
    </w:p>
    <w:p>
      <w:pPr>
        <w:numPr>
          <w:ilvl w:val="0"/>
          <w:numId w:val="1018"/>
        </w:numPr>
        <w:pStyle w:val="Compact"/>
      </w:pPr>
      <w:r>
        <w:t xml:space="preserve">Last-Mile Delivery (Small Van): 0.0015 tonnes × 50 km × 0.3 kg CO2e/tonne-km = 0.0225 kg CO2e/unit</w:t>
      </w:r>
    </w:p>
    <w:p>
      <w:pPr>
        <w:pStyle w:val="FirstParagraph"/>
      </w:pPr>
      <w:r>
        <w:rPr>
          <w:bCs/>
          <w:b/>
        </w:rPr>
        <w:t xml:space="preserve">Total Illustrative Scope 3 - Category 9 Emissions (Downstream): 0.150 kg + 0.0225 kg = 0.17 kg CO2e/unit</w:t>
      </w:r>
    </w:p>
    <w:bookmarkEnd w:id="43"/>
    <w:bookmarkStart w:id="44" w:name="category-11-use-of-sold-products"/>
    <w:p>
      <w:pPr>
        <w:pStyle w:val="Heading5"/>
      </w:pPr>
      <w:r>
        <w:t xml:space="preserve">Category 11: Use of Sold Products</w:t>
      </w:r>
    </w:p>
    <w:p>
      <w:pPr>
        <w:pStyle w:val="FirstParagraph"/>
      </w:pPr>
      <w:r>
        <w:t xml:space="preserve">These emissions occur during the operational use phase of wzwnpqukyr by the end-consumer, primarily from electricity consumption.</w:t>
      </w:r>
    </w:p>
    <w:p>
      <w:pPr>
        <w:numPr>
          <w:ilvl w:val="0"/>
          <w:numId w:val="1019"/>
        </w:numPr>
        <w:pStyle w:val="Compact"/>
      </w:pPr>
      <w:r>
        <w:t xml:space="preserve">Product Lifespan (from \'uuldtvjhro\' placeholder): 5 years</w:t>
      </w:r>
    </w:p>
    <w:p>
      <w:pPr>
        <w:numPr>
          <w:ilvl w:val="0"/>
          <w:numId w:val="1019"/>
        </w:numPr>
        <w:pStyle w:val="Compact"/>
      </w:pPr>
      <w:r>
        <w:t xml:space="preserve">Energy Consumption in Use (from \'pryqdfupfk\' placeholder): 20 kWh/year</w:t>
      </w:r>
    </w:p>
    <w:p>
      <w:pPr>
        <w:numPr>
          <w:ilvl w:val="0"/>
          <w:numId w:val="1019"/>
        </w:numPr>
        <w:pStyle w:val="Compact"/>
      </w:pPr>
      <w:r>
        <w:t xml:space="preserve">Total Energy Consumption over lifespan: 20 kWh/year × 5 years = 100 kWh/unit</w:t>
      </w:r>
    </w:p>
    <w:p>
      <w:pPr>
        <w:numPr>
          <w:ilvl w:val="0"/>
          <w:numId w:val="1019"/>
        </w:numPr>
        <w:pStyle w:val="Compact"/>
      </w:pPr>
      <w:r>
        <w:t xml:space="preserve">Emissions from Use Phase: 100 kWh/unit × 0.6 kg CO2e/kWh (illustrative average grid for consumer use) = 60.0 kg CO2e/unit</w:t>
      </w:r>
    </w:p>
    <w:p>
      <w:pPr>
        <w:pStyle w:val="FirstParagraph"/>
      </w:pPr>
      <w:r>
        <w:rPr>
          <w:bCs/>
          <w:b/>
        </w:rPr>
        <w:t xml:space="preserve">Illustrative Scope 3 - Category 11 Emissions: 60.00 kg CO2e/unit</w:t>
      </w:r>
    </w:p>
    <w:bookmarkEnd w:id="44"/>
    <w:bookmarkStart w:id="45" w:name="X9f66eef2700632e081dfe139021cb724ffcd2c5"/>
    <w:p>
      <w:pPr>
        <w:pStyle w:val="Heading5"/>
      </w:pPr>
      <w:r>
        <w:t xml:space="preserve">Category 12: End-of-Life Treatment of Sold Products</w:t>
      </w:r>
    </w:p>
    <w:p>
      <w:pPr>
        <w:pStyle w:val="FirstParagraph"/>
      </w:pPr>
      <w:r>
        <w:t xml:space="preserve">This category includes emissions and avoided emissions associated with the disposal and recovery of wzwnpqukyr at the end of its functional life.</w:t>
      </w:r>
    </w:p>
    <w:p>
      <w:pPr>
        <w:numPr>
          <w:ilvl w:val="0"/>
          <w:numId w:val="1020"/>
        </w:numPr>
        <w:pStyle w:val="Compact"/>
      </w:pPr>
      <w:r>
        <w:t xml:space="preserve">Product Weight: 1.5 kg/unit</w:t>
      </w:r>
    </w:p>
    <w:p>
      <w:pPr>
        <w:numPr>
          <w:ilvl w:val="0"/>
          <w:numId w:val="1020"/>
        </w:numPr>
        <w:pStyle w:val="Compact"/>
      </w:pPr>
      <w:r>
        <w:t xml:space="preserve">Recyclability Percentage (from \'kytthwwmmx\' placeholder): 70%</w:t>
      </w:r>
    </w:p>
    <w:p>
      <w:pPr>
        <w:numPr>
          <w:ilvl w:val="0"/>
          <w:numId w:val="1020"/>
        </w:numPr>
        <w:pStyle w:val="Compact"/>
      </w:pPr>
      <w:r>
        <w:t xml:space="preserve">Waste to Incineration/Landfill: 1.5 kg × (1 - 0.70) = 0.45 kg/unit</w:t>
      </w:r>
    </w:p>
    <w:p>
      <w:pPr>
        <w:numPr>
          <w:ilvl w:val="0"/>
          <w:numId w:val="1020"/>
        </w:numPr>
        <w:pStyle w:val="Compact"/>
      </w:pPr>
      <w:r>
        <w:t xml:space="preserve">Emissions from Incineration/Landfill: 0.45 kg/unit × 1.5 kg CO2e/kg = 0.675 kg CO2e/unit</w:t>
      </w:r>
    </w:p>
    <w:p>
      <w:pPr>
        <w:numPr>
          <w:ilvl w:val="0"/>
          <w:numId w:val="1020"/>
        </w:numPr>
        <w:pStyle w:val="Compact"/>
      </w:pPr>
      <w:r>
        <w:t xml:space="preserve">Avoided Emissions from Recycling: 1.5 kg × 0.70 × (-2.0 kg CO2e/kg) = -2.100 kg CO2e/unit</w:t>
      </w:r>
    </w:p>
    <w:p>
      <w:pPr>
        <w:pStyle w:val="FirstParagraph"/>
      </w:pPr>
      <w:r>
        <w:rPr>
          <w:bCs/>
          <w:b/>
        </w:rPr>
        <w:t xml:space="preserve">Total Illustrative Scope 3 - Category 12 Emissions: 0.675 kg + (-2.100 kg) = -1.43 kg CO2e/unit</w:t>
      </w:r>
    </w:p>
    <w:p>
      <w:pPr>
        <w:pStyle w:val="BodyText"/>
      </w:pPr>
      <w:r>
        <w:rPr>
          <w:iCs/>
          <w:i/>
        </w:rPr>
        <w:t xml:space="preserve">(Note: A negative value indicates a net avoided emission, representing a carbon benefit from recycling.)</w:t>
      </w:r>
    </w:p>
    <w:bookmarkEnd w:id="45"/>
    <w:bookmarkStart w:id="46" w:name="X6bdd30dabb6e33d050d7d0118d7b42aaf6337b0"/>
    <w:p>
      <w:pPr>
        <w:pStyle w:val="Heading5"/>
      </w:pPr>
      <w:r>
        <w:t xml:space="preserve">Other Scope 3 Categories (Acknowledged for 95% Coverage)</w:t>
      </w:r>
    </w:p>
    <w:p>
      <w:pPr>
        <w:pStyle w:val="FirstParagraph"/>
      </w:pPr>
      <w:r>
        <w:t xml:space="preserve">While specific detailed calculations are focused on the most material categories for this PCF, xxzdpiwzxu acknowledges the importance of comprehensive Scope 3 reporting and the target of at least 95% coverage as per 2026 GHG Protocol requirements. Other categories, such as capital goods, fuel- and energy-related activities (not included in Scope 1 or 2), waste generated in operations, business travel, employee commuting, leased assets, franchises, and investments, would be systematically assessed for materiality in a full corporate GHG inventory and included if found to be significant. For this product-level PCF, Categories 1, 4, 9, 11, and 12 are considered the most impactful for wzwnpqukyr, representing the vast majority of its product lifecycle emissions. The existing \'Circular/Take-back Programs: ihtxwejjro\' (e.g., "Active consumer take-back program for electronics") directly supports the data and impact calculation for Category 12.</w:t>
      </w:r>
    </w:p>
    <w:bookmarkEnd w:id="46"/>
    <w:bookmarkEnd w:id="47"/>
    <w:bookmarkEnd w:id="48"/>
    <w:bookmarkStart w:id="49" w:name="X439aeab12f653c5be8a9767687610423a65f1bc"/>
    <w:p>
      <w:pPr>
        <w:pStyle w:val="Heading3"/>
      </w:pPr>
      <w:r>
        <w:t xml:space="preserve">2026 LSR Update: Land Sector and Removals (LSR) Standard</w:t>
      </w:r>
    </w:p>
    <w:p>
      <w:pPr>
        <w:pStyle w:val="FirstParagraph"/>
      </w:pPr>
      <w:r>
        <w:t xml:space="preserve">The conceptual application of the Land Sector and Removals (LSR) Standard is acknowledged. For wzwnpqukyr, direct land-use change emissions or significant carbon removals would be quantified if the product incorporated relevant bio-based materials (e.g., sustainably sourced timber, specific bioplastics) with verifiable land-use data. In this illustrative PCF, assuming no direct land-use change or significant biogenic carbon components for the primary materials, specific LSR calculations are not detailed. However, xxzdpiwzxu is committed to applying this standard for any future product iterations or supply chain changes that involve material land sector impacts, ensuring transparency and accurate reporting of both emissions and removals, avoiding double counting as per LSR guidance.</w:t>
      </w:r>
    </w:p>
    <w:bookmarkEnd w:id="49"/>
    <w:bookmarkStart w:id="50" w:name="X6f8794c1cd9ecdf749a415298bf5b66a2ad3874"/>
    <w:p>
      <w:pPr>
        <w:pStyle w:val="Heading3"/>
      </w:pPr>
      <w:r>
        <w:t xml:space="preserve">Summary of Illustrative Product Carbon Footprint</w:t>
      </w:r>
    </w:p>
    <w:p>
      <w:pPr>
        <w:pStyle w:val="FirstParagraph"/>
      </w:pPr>
      <w:r>
        <w:t xml:space="preserve">The table below provides an overview of the illustrative Product Carbon Footprint for wzwnpqukyr, broken down by GHG Scope and relevant categories. All values are expressed in kilograms of carbon dioxide equivalent (kg CO2e) per functional unit (1.0 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Illustrative Emissions (kg 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w:t>
            </w:r>
          </w:p>
        </w:tc>
        <w:tc>
          <w:tcPr/>
          <w:p>
            <w:pPr>
              <w:pStyle w:val="Compact"/>
              <w:jc w:val="left"/>
            </w:pPr>
            <w:r>
              <w:t xml:space="preserve">2.40</w:t>
            </w:r>
          </w:p>
        </w:tc>
      </w:tr>
      <w:tr>
        <w:tc>
          <w:tcPr>
            <w:gridSpan w:val="2"/>
          </w:tcPr>
          <w:p>
            <w:pPr>
              <w:pStyle w:val="Compact"/>
              <w:jc w:val="left"/>
            </w:pPr>
            <w: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15.92</w:t>
            </w:r>
          </w:p>
        </w:tc>
      </w:tr>
      <w:tr>
        <w:tc>
          <w:tcPr/>
          <w:p>
            <w:pPr>
              <w:pStyle w:val="Compact"/>
              <w:jc w:val="left"/>
            </w:pPr>
            <w:r>
              <w:t xml:space="preserve">    Category 4: Upstream Transportation and Distribution</w:t>
            </w:r>
          </w:p>
        </w:tc>
        <w:tc>
          <w:tcPr/>
          <w:p>
            <w:pPr>
              <w:pStyle w:val="Compact"/>
              <w:jc w:val="left"/>
            </w:pPr>
            <w:r>
              <w:t xml:space="preserve">0.23</w:t>
            </w:r>
          </w:p>
        </w:tc>
      </w:tr>
      <w:tr>
        <w:tc>
          <w:tcPr/>
          <w:p>
            <w:pPr>
              <w:pStyle w:val="Compact"/>
              <w:jc w:val="left"/>
            </w:pPr>
            <w:r>
              <w:t xml:space="preserve">    Category 9: Downstream Transportation and Distribution</w:t>
            </w:r>
          </w:p>
        </w:tc>
        <w:tc>
          <w:tcPr/>
          <w:p>
            <w:pPr>
              <w:pStyle w:val="Compact"/>
              <w:jc w:val="left"/>
            </w:pPr>
            <w:r>
              <w:t xml:space="preserve">0.17</w:t>
            </w:r>
          </w:p>
        </w:tc>
      </w:tr>
      <w:tr>
        <w:tc>
          <w:tcPr/>
          <w:p>
            <w:pPr>
              <w:pStyle w:val="Compact"/>
              <w:jc w:val="left"/>
            </w:pPr>
            <w:r>
              <w:t xml:space="preserve">    Category 11: Use of Sold Products</w:t>
            </w:r>
          </w:p>
        </w:tc>
        <w:tc>
          <w:tcPr/>
          <w:p>
            <w:pPr>
              <w:pStyle w:val="Compact"/>
              <w:jc w:val="left"/>
            </w:pPr>
            <w:r>
              <w:t xml:space="preserve">60.00</w:t>
            </w:r>
          </w:p>
        </w:tc>
      </w:tr>
      <w:tr>
        <w:tc>
          <w:tcPr/>
          <w:p>
            <w:pPr>
              <w:pStyle w:val="Compact"/>
              <w:jc w:val="left"/>
            </w:pPr>
            <w:r>
              <w:t xml:space="preserve">    Category 12: End-of-Life Treatment of Sold Products</w:t>
            </w:r>
          </w:p>
        </w:tc>
        <w:tc>
          <w:tcPr/>
          <w:p>
            <w:pPr>
              <w:pStyle w:val="Compact"/>
              <w:jc w:val="left"/>
            </w:pPr>
            <w:r>
              <w:t xml:space="preserve">-1.43</w:t>
            </w:r>
          </w:p>
        </w:tc>
      </w:tr>
      <w:tr>
        <w:tc>
          <w:tcPr/>
          <w:p>
            <w:pPr>
              <w:pStyle w:val="Compact"/>
              <w:jc w:val="left"/>
            </w:pPr>
            <w:r>
              <w:t xml:space="preserve">Total Illustrative PCF (Cradle-to-Grave)</w:t>
            </w:r>
          </w:p>
        </w:tc>
        <w:tc>
          <w:tcPr/>
          <w:p>
            <w:pPr>
              <w:pStyle w:val="Compact"/>
              <w:jc w:val="left"/>
            </w:pPr>
            <w:r>
              <w:t xml:space="preserve">77.29</w:t>
            </w:r>
          </w:p>
        </w:tc>
      </w:tr>
    </w:tbl>
    <w:p>
      <w:pPr>
        <w:pStyle w:val="BodyText"/>
      </w:pPr>
      <w:r>
        <w:rPr>
          <w:iCs/>
          <w:i/>
        </w:rPr>
        <w:t xml:space="preserve">Note: Totals may vary slightly due to rounding in individual calculations.</w:t>
      </w:r>
    </w:p>
    <w:p>
      <w:r>
        <w:pict>
          <v:rect style="width:0;height:1.5pt" o:hralign="center" o:hrstd="t" o:hr="t"/>
        </w:pict>
      </w:r>
    </w:p>
    <w:bookmarkEnd w:id="50"/>
    <w:bookmarkEnd w:id="51"/>
    <w:bookmarkStart w:id="55" w:name="review-report"/>
    <w:p>
      <w:pPr>
        <w:pStyle w:val="Heading2"/>
      </w:pPr>
      <w:r>
        <w:t xml:space="preserve">5. Review &amp; Report</w:t>
      </w:r>
    </w:p>
    <w:p>
      <w:pPr>
        <w:pStyle w:val="FirstParagraph"/>
      </w:pPr>
      <w:r>
        <w:t xml:space="preserve">This final section synthesizes the findings of the Product Carbon Footprint analysis for wzwnpqukyr, pinpointing major emission hotspots, assessing the reliability of the current data, and providing actionable recommendations for xxzdpiwzxu to reduce its environmental impact.</w:t>
      </w:r>
    </w:p>
    <w:bookmarkStart w:id="52" w:name="emission-hotspots-identification"/>
    <w:p>
      <w:pPr>
        <w:pStyle w:val="Heading3"/>
      </w:pPr>
      <w:r>
        <w:t xml:space="preserve">Emission Hotspots Identification</w:t>
      </w:r>
    </w:p>
    <w:p>
      <w:pPr>
        <w:pStyle w:val="FirstParagraph"/>
      </w:pPr>
      <w:r>
        <w:t xml:space="preserve">Based on the illustrative calculations, the lifecycle assessment reveals distinct stages that are dominant contributors to the overall carbon footprint of wzwnpqukyr:</w:t>
      </w:r>
    </w:p>
    <w:p>
      <w:pPr>
        <w:numPr>
          <w:ilvl w:val="0"/>
          <w:numId w:val="1021"/>
        </w:numPr>
        <w:pStyle w:val="Compact"/>
      </w:pPr>
      <w:r>
        <w:rPr>
          <w:bCs/>
          <w:b/>
        </w:rPr>
        <w:t xml:space="preserve">Use Phase (Scope 3, Category 11):</w:t>
      </w:r>
      <w:r>
        <w:t xml:space="preserve"> </w:t>
      </w:r>
      <w:r>
        <w:t xml:space="preserve">This stage represents the most significant hotspot, contributing an illustrative 60.0 kg CO2e/unit. This emphasizes that the energy consumption during the product\'s operational lifespan by the end-user is the primary driver of its environmental footprint. This highlights a critical area for intervention through enhanced energy-efficient design and consumer education on sustainable usage patterns.</w:t>
      </w:r>
    </w:p>
    <w:p>
      <w:pPr>
        <w:numPr>
          <w:ilvl w:val="0"/>
          <w:numId w:val="1021"/>
        </w:numPr>
        <w:pStyle w:val="Compact"/>
      </w:pPr>
      <w:r>
        <w:rPr>
          <w:bCs/>
          <w:b/>
        </w:rPr>
        <w:t xml:space="preserve">Purchased Goods and Services (Scope 3, Category 1):</w:t>
      </w:r>
      <w:r>
        <w:t xml:space="preserve"> </w:t>
      </w:r>
      <w:r>
        <w:t xml:space="preserve">The production of raw materials and components, particularly high-impact elements like silicon chipsets (6.00 kg CO2e) and primary aluminum (4.00 kg CO2e) as per the illustrative BOM, collectively contributes an illustrative 15.92 kg CO2e/unit. This underscores the necessity for xxzdpiwzxu to focus on responsible material sourcing, exploring alternatives with lower embedded carbon, and designing products for reduced material intensity.</w:t>
      </w:r>
    </w:p>
    <w:p>
      <w:pPr>
        <w:numPr>
          <w:ilvl w:val="0"/>
          <w:numId w:val="1021"/>
        </w:numPr>
        <w:pStyle w:val="Compact"/>
      </w:pPr>
      <w:r>
        <w:rPr>
          <w:bCs/>
          <w:b/>
        </w:rPr>
        <w:t xml:space="preserve">Production Energy (Scope 2):</w:t>
      </w:r>
      <w:r>
        <w:t xml:space="preserve"> </w:t>
      </w:r>
      <w:r>
        <w:t xml:space="preserve">Despite the illustrative 60% renewable energy usage at the manufacturing facility, the remaining 40% from the grid still accounts for an illustrative 2.40 kg CO2e/unit. This indicates ongoing opportunities for xxzdpiwzxu to further decarbonize its manufacturing processes by increasing renewable energy adoption or sourcing electricity from lower-carbon grids.</w:t>
      </w:r>
    </w:p>
    <w:p>
      <w:pPr>
        <w:pStyle w:val="FirstParagraph"/>
      </w:pPr>
      <w:r>
        <w:t xml:space="preserve">While transport emissions (Scope 3, Categories 4 and 9) are comparatively lower in this analysis, they still warrant continuous optimization through strategic logistics planning, consolidation of shipments, and the exploration of lower-emission transportation modes where economically and logistically feasible.</w:t>
      </w:r>
    </w:p>
    <w:bookmarkEnd w:id="52"/>
    <w:bookmarkStart w:id="53" w:name="reliability-statement"/>
    <w:p>
      <w:pPr>
        <w:pStyle w:val="Heading3"/>
      </w:pPr>
      <w:r>
        <w:t xml:space="preserve">Reliability Statement</w:t>
      </w:r>
    </w:p>
    <w:p>
      <w:pPr>
        <w:pStyle w:val="FirstParagraph"/>
      </w:pPr>
      <w:r>
        <w:t xml:space="preserve">The reliability of this Product Carbon Footprint analysis is directly dependent on the accuracy, completeness, and representativeness of the input data. As several critical parameters in the initial request were provided as placeholder strings (e.g., \'dftfyjrx\' for BOM, \'Select Mode\' for transport), this report necessarily utilizes illustrative data. These illustrative values are derived from plausible industry averages and generic emission factors, mimicking those found in reputable databases like Ecoinvent or DEFRA. Therefore, while the methodology strictly adheres to the GHG Protocol Product Standard, the quantitative results presented herein should be interpreted as indicative demonstrations of the carbon footprint rather than definitive, exact figures. Actual, precise primary data for material composition, supplier-specific emissions, actual transport distances and modes, real-world energy consumption profiles for both production and use phases, and end-of-life processing specific to wzwnpqukyr and xxzdpiwzxu would be required to achieve a higher level of certainty and actionable precision in the PCF.</w:t>
      </w:r>
    </w:p>
    <w:bookmarkEnd w:id="53"/>
    <w:bookmarkStart w:id="54" w:name="recommendations-for-emission-reduction"/>
    <w:p>
      <w:pPr>
        <w:pStyle w:val="Heading3"/>
      </w:pPr>
      <w:r>
        <w:t xml:space="preserve">Recommendations for Emission Reduction</w:t>
      </w:r>
    </w:p>
    <w:p>
      <w:pPr>
        <w:pStyle w:val="FirstParagraph"/>
      </w:pPr>
      <w:r>
        <w:t xml:space="preserve">Based on the identified hotspots and general best practices in product sustainability, the following recommendations are put forth for xxzdpiwzxu:</w:t>
      </w:r>
    </w:p>
    <w:p>
      <w:pPr>
        <w:numPr>
          <w:ilvl w:val="0"/>
          <w:numId w:val="1022"/>
        </w:numPr>
        <w:pStyle w:val="Compact"/>
      </w:pPr>
      <w:r>
        <w:rPr>
          <w:bCs/>
          <w:b/>
        </w:rPr>
        <w:t xml:space="preserve">Optimize Use Phase Performance:</w:t>
      </w:r>
      <w:r>
        <w:t xml:space="preserve"> </w:t>
      </w:r>
      <w:r>
        <w:t xml:space="preserve">Prioritize design improvements for wzwnpqukyr to achieve greater energy efficiency during its operational life. Additionally, develop and implement robust consumer education programs to promote energy-saving usage behaviors and extend product lifespan.</w:t>
      </w:r>
    </w:p>
    <w:p>
      <w:pPr>
        <w:numPr>
          <w:ilvl w:val="0"/>
          <w:numId w:val="1022"/>
        </w:numPr>
        <w:pStyle w:val="Compact"/>
      </w:pPr>
      <w:r>
        <w:rPr>
          <w:bCs/>
          <w:b/>
        </w:rPr>
        <w:t xml:space="preserve">Enhance Sustainable Material Sourcing:</w:t>
      </w:r>
      <w:r>
        <w:t xml:space="preserve"> </w:t>
      </w:r>
      <w:r>
        <w:t xml:space="preserve">Conduct a thorough assessment of the supply chain for high-impact materials. Investigate opportunities for sourcing lower-carbon materials, increasing the percentage of recycled content, and engaging with suppliers who demonstrate strong decarbonization strategies and transparent environmental reporting.</w:t>
      </w:r>
    </w:p>
    <w:p>
      <w:pPr>
        <w:numPr>
          <w:ilvl w:val="0"/>
          <w:numId w:val="1022"/>
        </w:numPr>
        <w:pStyle w:val="Compact"/>
      </w:pPr>
      <w:r>
        <w:rPr>
          <w:bCs/>
          <w:b/>
        </w:rPr>
        <w:t xml:space="preserve">Expand Renewable Energy Integration:</w:t>
      </w:r>
      <w:r>
        <w:t xml:space="preserve"> </w:t>
      </w:r>
      <w:r>
        <w:t xml:space="preserve">Explore further avenues to increase the proportion of renewable energy used at manufacturing facilities. This could include direct investment in on-site renewables, power purchase agreements (PPAs) for off-site renewable energy, or purchasing high-quality energy attribute certificates (EACs) to achieve 100% renewable electricity.</w:t>
      </w:r>
    </w:p>
    <w:p>
      <w:pPr>
        <w:numPr>
          <w:ilvl w:val="0"/>
          <w:numId w:val="1022"/>
        </w:numPr>
        <w:pStyle w:val="Compact"/>
      </w:pPr>
      <w:r>
        <w:rPr>
          <w:bCs/>
          <w:b/>
        </w:rPr>
        <w:t xml:space="preserve">Optimize Logistics and Transportation:</w:t>
      </w:r>
      <w:r>
        <w:t xml:space="preserve"> </w:t>
      </w:r>
      <w:r>
        <w:t xml:space="preserve">Implement advanced logistics planning to optimize transport routes, maximize payload utilization, and consolidate shipments. Continuously evaluate the feasibility of shifting to lower-emission transport modes (e.g., rail, sea freight over road, electric vehicles for last-mile delivery) where practicable, particularly given the "Europe Focused" supply chain.</w:t>
      </w:r>
    </w:p>
    <w:p>
      <w:pPr>
        <w:numPr>
          <w:ilvl w:val="0"/>
          <w:numId w:val="1022"/>
        </w:numPr>
        <w:pStyle w:val="Compact"/>
      </w:pPr>
      <w:r>
        <w:rPr>
          <w:bCs/>
          <w:b/>
        </w:rPr>
        <w:t xml:space="preserve">Strengthen Circular Economy Initiatives:</w:t>
      </w:r>
      <w:r>
        <w:t xml:space="preserve"> </w:t>
      </w:r>
      <w:r>
        <w:t xml:space="preserve">Capitalize on and enhance existing circular/take-back programs (\'ihtxwejjro\'). Explore innovative strategies to maximize recyclability, facilitate component reuse, and improve material recovery rates at the product\'s end-of-life, further leveraging the avoided emissions benefits.</w:t>
      </w:r>
    </w:p>
    <w:p>
      <w:r>
        <w:pict>
          <v:rect style="width:0;height:1.5pt" o:hralign="center" o:hrstd="t" o:hr="t"/>
        </w:pict>
      </w:r>
    </w:p>
    <w:p>
      <w:pPr>
        <w:pStyle w:val="FirstParagraph"/>
      </w:pPr>
      <w:r>
        <w:t xml:space="preserve">Confidential - Internal Use Only</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wzwnpqukyr</dc:title>
  <dc:creator/>
  <dc:description>Detailed Product Carbon Footprint analysis for wzwnpqukyr by vjddhrrjkz, a Senior Sustainability Consultant, adhering to GHG Protocol standards and 2026 LSR updates. This report provides a comprehensive assessment of GHG emissions across the product\'s lifecycle, identifying hotspots and recommending reduction strategies for xxzdpiwzxu.</dc:description>
  <cp:keywords/>
  <dcterms:created xsi:type="dcterms:W3CDTF">2026-07-15T04:06:55Z</dcterms:created>
  <dcterms:modified xsi:type="dcterms:W3CDTF">2026-07-15T04:06:55Z</dcterms:modified>
</cp:coreProperties>
</file>

<file path=docProps/custom.xml><?xml version="1.0" encoding="utf-8"?>
<Properties xmlns="http://schemas.openxmlformats.org/officeDocument/2006/custom-properties" xmlns:vt="http://schemas.openxmlformats.org/officeDocument/2006/docPropsVTypes"/>
</file>