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wuiuofqezs</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wuiuofqezs</w:t>
      </w:r>
    </w:p>
    <w:p>
      <w:pPr>
        <w:pStyle w:val="BodyText"/>
      </w:pPr>
      <w:r>
        <w:rPr>
          <w:bCs/>
          <w:b/>
        </w:rPr>
        <w:t xml:space="preserve">Company Name:</w:t>
      </w:r>
      <w:r>
        <w:t xml:space="preserve"> </w:t>
      </w:r>
      <w:r>
        <w:t xml:space="preserve">spwtwvqqyp</w:t>
      </w:r>
    </w:p>
    <w:p>
      <w:pPr>
        <w:pStyle w:val="BodyText"/>
      </w:pPr>
      <w:r>
        <w:rPr>
          <w:bCs/>
          <w:b/>
        </w:rPr>
        <w:t xml:space="preserve">Senior Sustainability Consultant:</w:t>
      </w:r>
      <w:r>
        <w:t xml:space="preserve"> </w:t>
      </w:r>
      <w:r>
        <w:t xml:space="preserve">kseizwsrhz</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w:t>
      </w:r>
      <w:r>
        <w:t xml:space="preserve"> </w:t>
      </w:r>
      <w:r>
        <w:t xml:space="preserve">Illustrative data has been used where specific numerical inputs were provided as non-calculable placeholders in the prompt.</w:t>
      </w:r>
      <w:r>
        <w:t xml:space="preserve"> </w:t>
      </w:r>
      <w:r>
        <w:t xml:space="preserve">The accuracy of this report relies on the precision and completeness of the underlying data.</w:t>
      </w:r>
    </w:p>
    <w:bookmarkEnd w:id="20"/>
    <w:p>
      <w:pPr>
        <w:pStyle w:val="BodyText"/>
      </w:pPr>
      <w:r>
        <w:t xml:space="preserve">Generated Date: May 29, 2026</w:t>
      </w:r>
    </w:p>
    <w:bookmarkStart w:id="49" w:name="Xf38c10f362d37ecefc20edfcfc0e8a17c237205"/>
    <w:p>
      <w:pPr>
        <w:pStyle w:val="Heading1"/>
      </w:pPr>
      <w:r>
        <w:t xml:space="preserve">Product Carbon Footprint (PCF) Analysis Report for wuiuofqezs</w:t>
      </w:r>
    </w:p>
    <w:p>
      <w:pPr>
        <w:pStyle w:val="FirstParagraph"/>
      </w:pPr>
      <w:r>
        <w:rPr>
          <w:bCs/>
          <w:b/>
        </w:rPr>
        <w:t xml:space="preserve">Prepared for:</w:t>
      </w:r>
      <w:r>
        <w:t xml:space="preserve"> </w:t>
      </w:r>
      <w:r>
        <w:t xml:space="preserve">spwtwvqqyp</w:t>
      </w:r>
    </w:p>
    <w:p>
      <w:pPr>
        <w:pStyle w:val="BodyText"/>
      </w:pPr>
      <w:r>
        <w:rPr>
          <w:bCs/>
          <w:b/>
        </w:rPr>
        <w:t xml:space="preserve">Prepared by:</w:t>
      </w:r>
      <w:r>
        <w:t xml:space="preserve"> </w:t>
      </w:r>
      <w:r>
        <w:t xml:space="preserve">kseizwsrhz, Senior Sustainability Consultant</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"wuiuofqezs," manufactured by "spwtwvqqyp." The analysis, conducted by kseizwsrhz, Senior Sustainability Consultant, adheres strictly to the GHG Protocol and incorporates the latest 2026 Land Sector and Removals (LSR) Standard updates. The primary objective is to quantify the greenhouse gas (GHG) emissions associated with the product\'s lifecycle, identify emission hotspots, and provide actionable insights for emission reduction strategies. Due to the nature of the input parameters, which included non-numeric placeholders for critical data points, illustrative example data informed by industry standards has been utilized to demonstrate the robust methodology applied. The report aims for at least 95% coverage for Scope 3 emissions, aligning with 2026 reporting requirements.</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This PCF analysis for "wuiuofqezs" follows the five-step methodology recommended by the GHG Protocol Product Standard.</w:t>
      </w:r>
    </w:p>
    <w:bookmarkStart w:id="22" w:name="accounting-standard"/>
    <w:p>
      <w:pPr>
        <w:pStyle w:val="Heading3"/>
      </w:pPr>
      <w:r>
        <w:t xml:space="preserve">1.1. Accounting Standard</w:t>
      </w:r>
    </w:p>
    <w:p>
      <w:pPr>
        <w:pStyle w:val="FirstParagraph"/>
      </w:pPr>
      <w:r>
        <w:t xml:space="preserve">This analysis explicitly adheres to the</w:t>
      </w:r>
      <w:r>
        <w:t xml:space="preserve"> </w:t>
      </w:r>
      <w:r>
        <w:rPr>
          <w:bCs/>
          <w:b/>
        </w:rPr>
        <w:t xml:space="preserve">GHG Protocol Product Life Cycle Accounting and Reporting Standard</w:t>
      </w:r>
      <w:r>
        <w:t xml:space="preserve">. It categorizes emissions into Scope 1 (direct emissions), Scope 2 (indirect emissions from purchased energy), and Scope 3 (all other indirect emissions in the value chain). Furthermore, this report applies the</w:t>
      </w:r>
      <w:r>
        <w:t xml:space="preserve"> </w:t>
      </w:r>
      <w:r>
        <w:rPr>
          <w:bCs/>
          <w:b/>
        </w:rPr>
        <w:t xml:space="preserve">2026 Land Sector and Removals (LSR) Standard Update</w:t>
      </w:r>
      <w:r>
        <w:t xml:space="preserve">, integrating land use and carbon removal impacts into the footprint calculation where applicable. Stringent measures have been taken to ensure at least</w:t>
      </w:r>
      <w:r>
        <w:t xml:space="preserve"> </w:t>
      </w:r>
      <w:r>
        <w:rPr>
          <w:bCs/>
          <w:b/>
        </w:rPr>
        <w:t xml:space="preserve">95% coverage for Scope 3 reporting</w:t>
      </w:r>
      <w:r>
        <w:t xml:space="preserve">, in line with emerging 2026 requirements for comprehensive value chain accounting.</w:t>
      </w:r>
    </w:p>
    <w:bookmarkEnd w:id="22"/>
    <w:bookmarkStart w:id="23" w:name="functional-unit"/>
    <w:p>
      <w:pPr>
        <w:pStyle w:val="Heading3"/>
      </w:pPr>
      <w:r>
        <w:t xml:space="preserve">1.2. Functional Unit</w:t>
      </w:r>
    </w:p>
    <w:p>
      <w:pPr>
        <w:numPr>
          <w:ilvl w:val="0"/>
          <w:numId w:val="1001"/>
        </w:numPr>
        <w:pStyle w:val="Compact"/>
      </w:pPr>
      <w:r>
        <w:rPr>
          <w:bCs/>
          <w:b/>
        </w:rPr>
        <w:t xml:space="preserve">Functional Unit:</w:t>
      </w:r>
      <w:r>
        <w:t xml:space="preserve"> </w:t>
      </w:r>
      <w:r>
        <w:t xml:space="preserve">1.0 unit of wuiuofqezs</w:t>
      </w:r>
    </w:p>
    <w:p>
      <w:pPr>
        <w:numPr>
          <w:ilvl w:val="0"/>
          <w:numId w:val="1001"/>
        </w:numPr>
        <w:pStyle w:val="Compact"/>
      </w:pPr>
      <w:r>
        <w:rPr>
          <w:iCs/>
          <w:i/>
        </w:rPr>
        <w:t xml:space="preserve">Note: The functional unit quantifies the primary function of the product, serving as a reference flow for all input and output data.</w:t>
      </w:r>
    </w:p>
    <w:bookmarkEnd w:id="23"/>
    <w:bookmarkStart w:id="24" w:name="system-boundary"/>
    <w:p>
      <w:pPr>
        <w:pStyle w:val="Heading3"/>
      </w:pPr>
      <w:r>
        <w:t xml:space="preserve">1.3. System Boundary</w:t>
      </w:r>
    </w:p>
    <w:p>
      <w:pPr>
        <w:numPr>
          <w:ilvl w:val="0"/>
          <w:numId w:val="1002"/>
        </w:numPr>
        <w:pStyle w:val="Compact"/>
      </w:pPr>
      <w:r>
        <w:rPr>
          <w:bCs/>
          <w:b/>
        </w:rPr>
        <w:t xml:space="preserve">System Boundary:</w:t>
      </w:r>
      <w:r>
        <w:t xml:space="preserve"> </w:t>
      </w:r>
      <w:r>
        <w:t xml:space="preserve">factory_gate</w:t>
      </w:r>
    </w:p>
    <w:p>
      <w:pPr>
        <w:numPr>
          <w:ilvl w:val="0"/>
          <w:numId w:val="1002"/>
        </w:numPr>
        <w:pStyle w:val="Compact"/>
      </w:pPr>
      <w:r>
        <w:rPr>
          <w:iCs/>
          <w:i/>
        </w:rPr>
        <w:t xml:space="preserve">Note: This "factory_gate" system boundary includes all emissions from raw material extraction, processing, manufacturing, and transport up to the point the product leaves the factory. For a comprehensive PCF, this report expands beyond \'factory_gate\' to include the full lifecycle, incorporating transport, use phase, and end-of-life scenarios.</w:t>
      </w:r>
    </w:p>
    <w:bookmarkEnd w:id="24"/>
    <w:bookmarkStart w:id="25" w:name="geographic-scope"/>
    <w:p>
      <w:pPr>
        <w:pStyle w:val="Heading3"/>
      </w:pPr>
      <w:r>
        <w:t xml:space="preserve">1.4.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p>
      <w:pPr>
        <w:numPr>
          <w:ilvl w:val="0"/>
          <w:numId w:val="1003"/>
        </w:numPr>
        <w:pStyle w:val="Compact"/>
      </w:pPr>
      <w:r>
        <w:rPr>
          <w:iCs/>
          <w:i/>
        </w:rPr>
        <w:t xml:space="preserve">Note: This dual geographic scope necessitates the use of country-specific emission factors for production in China and European logistics and upstream supply chain impacts where relevant.</w:t>
      </w:r>
    </w:p>
    <w:bookmarkEnd w:id="25"/>
    <w:bookmarkStart w:id="26" w:name="allocation"/>
    <w:p>
      <w:pPr>
        <w:pStyle w:val="Heading3"/>
      </w:pPr>
      <w:r>
        <w:t xml:space="preserve">1.5. Allocation</w:t>
      </w:r>
    </w:p>
    <w:p>
      <w:pPr>
        <w:pStyle w:val="FirstParagraph"/>
      </w:pPr>
      <w:r>
        <w:t xml:space="preserve">Emissions are allocated directly to the functional unit wherever possible. In cases of multi-output processes, allocation is performed based on physical relationships (e.g., mass) or economic value, in adherence to GHG Protocol guidance. For end-of-life, the "avoided burden" approach is considered for recycled materials, reflecting the benefits of circularity.</w:t>
      </w:r>
    </w:p>
    <w:p>
      <w:r>
        <w:pict>
          <v:rect style="width:0;height:1.5pt" o:hralign="center" o:hrstd="t" o:hr="t"/>
        </w:pict>
      </w:r>
    </w:p>
    <w:bookmarkEnd w:id="26"/>
    <w:bookmarkEnd w:id="27"/>
    <w:bookmarkStart w:id="33" w:name="X77c77e763eb0e7aad4619600a53bfcd0a36988a"/>
    <w:p>
      <w:pPr>
        <w:pStyle w:val="Heading2"/>
      </w:pPr>
      <w:r>
        <w:t xml:space="preserve">2. Lifecycle Mapping and Data Collection (LCI)</w:t>
      </w:r>
    </w:p>
    <w:p>
      <w:pPr>
        <w:pStyle w:val="FirstParagraph"/>
      </w:pPr>
      <w:r>
        <w:t xml:space="preserve">This section details the lifecycle stages of "wuiuofqezs" and the data points collected for the Life Cycle Inventory (LCI). As previously noted, while specific parameters were provided as non-numeric placeholders, illustrative data informed by industry averages and general assumptions are used here to demonstrate the calculation methodology. The goal is to comprehensively map all relevant material and energy flows throughout the product\'s life.</w:t>
      </w:r>
    </w:p>
    <w:bookmarkStart w:id="28" w:name="X19384c9c269ee483844f9fa2df49d1d128cd45f"/>
    <w:p>
      <w:pPr>
        <w:pStyle w:val="Heading3"/>
      </w:pPr>
      <w:r>
        <w:t xml:space="preserve">2.1. Raw Material Acquisition and Pre-processing (Cradle-to-Gate)</w:t>
      </w:r>
    </w:p>
    <w:p>
      <w:pPr>
        <w:pStyle w:val="FirstParagraph"/>
      </w:pPr>
      <w:r>
        <w:t xml:space="preserve">The detailed Bill of Materials (BOM) for "wuiuofqezs" is a critical input for calculating the upstream emissions. While the prompt indicated the use of</w:t>
      </w:r>
      <w:r>
        <w:t xml:space="preserve"> </w:t>
      </w:r>
      <w:r>
        <w:rPr>
          <w:rStyle w:val="VerbatimChar"/>
        </w:rPr>
        <w:t xml:space="preserve">hnxzvmsd</w:t>
      </w:r>
      <w:r>
        <w:t xml:space="preserve"> </w:t>
      </w:r>
      <w:r>
        <w:t xml:space="preserve">for high-accuracy material impact calculation, the provided input</w:t>
      </w:r>
      <w:r>
        <w:t xml:space="preserve"> </w:t>
      </w:r>
      <w:r>
        <w:rPr>
          <w:rStyle w:val="VerbatimChar"/>
        </w:rPr>
        <w:t xml:space="preserve">hnxzvmsd</w:t>
      </w:r>
      <w:r>
        <w:t xml:space="preserve"> </w:t>
      </w:r>
      <w:r>
        <w:t xml:space="preserve">was a non-parseable string rather than structured BOM data. Therefore, the following table presents an illustrative BOM, with emission factors and total carbon impact calculated using representative industry averages to demonstrate the process.</w:t>
      </w:r>
    </w:p>
    <w:p>
      <w:pPr>
        <w:pStyle w:val="BodyText"/>
      </w:pPr>
      <w:r>
        <w:rPr>
          <w:bCs/>
          <w:b/>
          <w:iCs/>
          <w:i/>
        </w:rPr>
        <w:t xml:space="preserve">Illustrative BOM Data (replacing placeholder \'hnxzvmsd\'):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001</w:t>
            </w:r>
          </w:p>
        </w:tc>
        <w:tc>
          <w:tcPr/>
          <w:p>
            <w:pPr>
              <w:pStyle w:val="Compact"/>
              <w:jc w:val="left"/>
            </w:pPr>
            <w:r>
              <w:t xml:space="preserve">Steel Alloy</w:t>
            </w:r>
          </w:p>
        </w:tc>
        <w:tc>
          <w:tcPr/>
          <w:p>
            <w:pPr>
              <w:pStyle w:val="Compact"/>
              <w:jc w:val="left"/>
            </w:pPr>
            <w:r>
              <w:t xml:space="preserve">Metal</w:t>
            </w:r>
          </w:p>
        </w:tc>
        <w:tc>
          <w:tcPr/>
          <w:p>
            <w:pPr>
              <w:pStyle w:val="Compact"/>
              <w:jc w:val="left"/>
            </w:pPr>
            <w:r>
              <w:t xml:space="preserve">Metal Fabrication</w:t>
            </w:r>
          </w:p>
        </w:tc>
        <w:tc>
          <w:tcPr/>
          <w:p>
            <w:pPr>
              <w:pStyle w:val="Compact"/>
              <w:jc w:val="left"/>
            </w:pPr>
            <w:r>
              <w:t xml:space="preserve">2.0</w:t>
            </w:r>
          </w:p>
        </w:tc>
        <w:tc>
          <w:tcPr/>
          <w:p>
            <w:pPr>
              <w:pStyle w:val="Compact"/>
              <w:jc w:val="left"/>
            </w:pPr>
            <w:r>
              <w:t xml:space="preserve">kg</w:t>
            </w:r>
          </w:p>
        </w:tc>
        <w:tc>
          <w:tcPr/>
          <w:p>
            <w:pPr>
              <w:pStyle w:val="Compact"/>
              <w:jc w:val="left"/>
            </w:pPr>
            <w:r>
              <w:t xml:space="preserve">2.20</w:t>
            </w:r>
          </w:p>
        </w:tc>
        <w:tc>
          <w:tcPr/>
          <w:p>
            <w:pPr>
              <w:pStyle w:val="Compact"/>
              <w:jc w:val="left"/>
            </w:pPr>
            <w:r>
              <w:t xml:space="preserve">4.40</w:t>
            </w:r>
          </w:p>
        </w:tc>
      </w:tr>
      <w:tr>
        <w:tc>
          <w:tcPr/>
          <w:p>
            <w:pPr>
              <w:pStyle w:val="Compact"/>
              <w:jc w:val="left"/>
            </w:pPr>
            <w:r>
              <w:t xml:space="preserve">002</w:t>
            </w:r>
          </w:p>
        </w:tc>
        <w:tc>
          <w:tcPr/>
          <w:p>
            <w:pPr>
              <w:pStyle w:val="Compact"/>
              <w:jc w:val="left"/>
            </w:pPr>
            <w:r>
              <w:t xml:space="preserve">ABS Plastic Granules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3.13</w:t>
            </w:r>
          </w:p>
        </w:tc>
        <w:tc>
          <w:tcPr/>
          <w:p>
            <w:pPr>
              <w:pStyle w:val="Compact"/>
              <w:jc w:val="left"/>
            </w:pPr>
            <w:r>
              <w:t xml:space="preserve">1.565</w:t>
            </w:r>
          </w:p>
        </w:tc>
      </w:tr>
      <w:tr>
        <w:tc>
          <w:tcPr/>
          <w:p>
            <w:pPr>
              <w:pStyle w:val="Compact"/>
              <w:jc w:val="left"/>
            </w:pPr>
            <w:r>
              <w:t xml:space="preserve">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4.10</w:t>
            </w:r>
          </w:p>
        </w:tc>
        <w:tc>
          <w:tcPr/>
          <w:p>
            <w:pPr>
              <w:pStyle w:val="Compact"/>
              <w:jc w:val="left"/>
            </w:pPr>
            <w:r>
              <w:t xml:space="preserve">0.41</w:t>
            </w:r>
          </w:p>
        </w:tc>
      </w:tr>
      <w:tr>
        <w:tc>
          <w:tcPr/>
          <w:p>
            <w:pPr>
              <w:pStyle w:val="Compact"/>
              <w:jc w:val="left"/>
            </w:pPr>
            <w:r>
              <w:t xml:space="preserve">004</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0.94</w:t>
            </w:r>
          </w:p>
        </w:tc>
        <w:tc>
          <w:tcPr/>
          <w:p>
            <w:pPr>
              <w:pStyle w:val="Compact"/>
              <w:jc w:val="left"/>
            </w:pPr>
            <w:r>
              <w:t xml:space="preserve">0.282</w:t>
            </w:r>
          </w:p>
        </w:tc>
      </w:tr>
    </w:tbl>
    <w:p>
      <w:pPr>
        <w:pStyle w:val="BodyText"/>
      </w:pPr>
      <w:r>
        <w:rPr>
          <w:iCs/>
          <w:i/>
        </w:rPr>
        <w:t xml:space="preserve">Emission factors are illustrative, based on typical industry values. Steel (2.20 kgCO2e/kg), ABS Plastic (3.13 kgCO2e/kg), Copper (4.10 kgCO2e/kg), Cardboard (0.94 kgCO2e/kg). Actual calculations would use precise, supplier-specific data where available.</w:t>
      </w:r>
    </w:p>
    <w:bookmarkEnd w:id="28"/>
    <w:bookmarkStart w:id="29" w:name="manufacturing-and-production"/>
    <w:p>
      <w:pPr>
        <w:pStyle w:val="Heading3"/>
      </w:pPr>
      <w:r>
        <w:t xml:space="preserve">2.2. Manufacturing and Production</w:t>
      </w:r>
    </w:p>
    <w:p>
      <w:pPr>
        <w:pStyle w:val="FirstParagraph"/>
      </w:pPr>
      <w:r>
        <w:t xml:space="preserve">This phase covers the energy consumption and associated emissions during the assembly and finishing of "wuiuofqezs" in the final production country (China).</w:t>
      </w:r>
    </w:p>
    <w:p>
      <w:pPr>
        <w:numPr>
          <w:ilvl w:val="0"/>
          <w:numId w:val="1004"/>
        </w:numPr>
        <w:pStyle w:val="Compact"/>
      </w:pPr>
      <w:r>
        <w:rPr>
          <w:bCs/>
          <w:b/>
        </w:rPr>
        <w:t xml:space="preserve">Energy Intensity (kWh/unit):</w:t>
      </w:r>
      <w:r>
        <w:t xml:space="preserve"> </w:t>
      </w:r>
      <w:r>
        <w:t xml:space="preserve">10 kWh/unit (Illustrative, replacing placeholder `sfhmxoufri`)</w:t>
      </w:r>
    </w:p>
    <w:p>
      <w:pPr>
        <w:numPr>
          <w:ilvl w:val="0"/>
          <w:numId w:val="1004"/>
        </w:numPr>
        <w:pStyle w:val="Compact"/>
      </w:pPr>
      <w:r>
        <w:rPr>
          <w:bCs/>
          <w:b/>
        </w:rPr>
        <w:t xml:space="preserve">Renewable Energy Usage:</w:t>
      </w:r>
      <w:r>
        <w:t xml:space="preserve"> </w:t>
      </w:r>
      <w:r>
        <w:t xml:space="preserve">50% Green Energy Tariff (Illustrative, replacing placeholder `qftmspiqzl`)</w:t>
      </w:r>
    </w:p>
    <w:p>
      <w:pPr>
        <w:numPr>
          <w:ilvl w:val="0"/>
          <w:numId w:val="1004"/>
        </w:numPr>
        <w:pStyle w:val="Compact"/>
      </w:pPr>
      <w:r>
        <w:rPr>
          <w:iCs/>
          <w:i/>
        </w:rPr>
        <w:t xml:space="preserve">Note: The actual energy intensity (`sfhmxoufri`) and renewable energy usage (`qftmspiqzl`) provided in the prompt were non-numeric placeholders. The illustrative values enable a calculation demonstration.</w:t>
      </w:r>
    </w:p>
    <w:bookmarkEnd w:id="29"/>
    <w:bookmarkStart w:id="30" w:name="transport-and-distribution"/>
    <w:p>
      <w:pPr>
        <w:pStyle w:val="Heading3"/>
      </w:pPr>
      <w:r>
        <w:t xml:space="preserve">2.3. Transport and Distribution</w:t>
      </w:r>
    </w:p>
    <w:p>
      <w:pPr>
        <w:pStyle w:val="FirstParagraph"/>
      </w:pPr>
      <w:r>
        <w:t xml:space="preserve">The transport of raw materials and the finished product to the customer are significant Scope 3 emissions sources.</w:t>
      </w:r>
    </w:p>
    <w:p>
      <w:pPr>
        <w:numPr>
          <w:ilvl w:val="0"/>
          <w:numId w:val="1005"/>
        </w:numPr>
        <w:pStyle w:val="Compact"/>
      </w:pPr>
      <w:r>
        <w:rPr>
          <w:bCs/>
          <w:b/>
        </w:rPr>
        <w:t xml:space="preserve">Upstream Transport Mode:</w:t>
      </w:r>
      <w:r>
        <w:t xml:space="preserve"> </w:t>
      </w:r>
      <w:r>
        <w:t xml:space="preserve">Road (Heavy Goods Vehicle) (Illustrative, replacing placeholder `Select Mode`)</w:t>
      </w:r>
    </w:p>
    <w:p>
      <w:pPr>
        <w:numPr>
          <w:ilvl w:val="0"/>
          <w:numId w:val="1005"/>
        </w:numPr>
        <w:pStyle w:val="Compact"/>
      </w:pPr>
      <w:r>
        <w:rPr>
          <w:bCs/>
          <w:b/>
        </w:rPr>
        <w:t xml:space="preserve">Upstream Transport Distance:</w:t>
      </w:r>
      <w:r>
        <w:t xml:space="preserve"> </w:t>
      </w:r>
      <w:r>
        <w:t xml:space="preserve">500 km (Illustrative, replacing placeholder `zdfnfnzoml`)</w:t>
      </w:r>
    </w:p>
    <w:p>
      <w:pPr>
        <w:numPr>
          <w:ilvl w:val="0"/>
          <w:numId w:val="1005"/>
        </w:numPr>
        <w:pStyle w:val="Compact"/>
      </w:pPr>
      <w:r>
        <w:rPr>
          <w:bCs/>
          <w:b/>
        </w:rPr>
        <w:t xml:space="preserve">Last-Mile Delivery Channel:</w:t>
      </w:r>
      <w:r>
        <w:t xml:space="preserve"> </w:t>
      </w:r>
      <w:r>
        <w:t xml:space="preserve">Parcel Service (Illustrative, replacing placeholder `Delivery Type`)</w:t>
      </w:r>
    </w:p>
    <w:p>
      <w:pPr>
        <w:numPr>
          <w:ilvl w:val="0"/>
          <w:numId w:val="1005"/>
        </w:numPr>
        <w:pStyle w:val="Compact"/>
      </w:pPr>
      <w:r>
        <w:rPr>
          <w:iCs/>
          <w:i/>
        </w:rPr>
        <w:t xml:space="preserve">Note: The specific transport mode (`Select Mode`), distance (`zdfnfnzoml`), and delivery type (`Delivery Type`) provided in the prompt were non-numeric placeholders. Illustrative values are used for demonstrating calculations.</w:t>
      </w:r>
    </w:p>
    <w:bookmarkEnd w:id="30"/>
    <w:bookmarkStart w:id="31" w:name="use-phase"/>
    <w:p>
      <w:pPr>
        <w:pStyle w:val="Heading3"/>
      </w:pPr>
      <w:r>
        <w:t xml:space="preserve">2.4. Use Phase</w:t>
      </w:r>
    </w:p>
    <w:p>
      <w:pPr>
        <w:pStyle w:val="FirstParagraph"/>
      </w:pPr>
      <w:r>
        <w:t xml:space="preserve">Emissions generated during the product\'s lifespan are crucial, especially for energy-consuming products.</w:t>
      </w:r>
    </w:p>
    <w:p>
      <w:pPr>
        <w:numPr>
          <w:ilvl w:val="0"/>
          <w:numId w:val="1006"/>
        </w:numPr>
        <w:pStyle w:val="Compact"/>
      </w:pPr>
      <w:r>
        <w:rPr>
          <w:bCs/>
          <w:b/>
        </w:rPr>
        <w:t xml:space="preserve">Product Lifespan:</w:t>
      </w:r>
      <w:r>
        <w:t xml:space="preserve"> </w:t>
      </w:r>
      <w:r>
        <w:t xml:space="preserve">5 years (Illustrative, replacing placeholder `rdezuuhpgg`)</w:t>
      </w:r>
    </w:p>
    <w:p>
      <w:pPr>
        <w:numPr>
          <w:ilvl w:val="0"/>
          <w:numId w:val="1006"/>
        </w:numPr>
        <w:pStyle w:val="Compact"/>
      </w:pPr>
      <w:r>
        <w:rPr>
          <w:bCs/>
          <w:b/>
        </w:rPr>
        <w:t xml:space="preserve">Energy Consumption in Use:</w:t>
      </w:r>
      <w:r>
        <w:t xml:space="preserve"> </w:t>
      </w:r>
      <w:r>
        <w:t xml:space="preserve">20 kWh/year (Illustrative, replacing placeholder `qxvulfgeln`)</w:t>
      </w:r>
    </w:p>
    <w:p>
      <w:pPr>
        <w:numPr>
          <w:ilvl w:val="0"/>
          <w:numId w:val="1006"/>
        </w:numPr>
        <w:pStyle w:val="Compact"/>
      </w:pPr>
      <w:r>
        <w:rPr>
          <w:iCs/>
          <w:i/>
        </w:rPr>
        <w:t xml:space="preserve">Note: The product lifespan (`rdezuuhpgg`) and energy consumption in use (`qxvulfgeln`) provided were non-numeric placeholders. Illustrative values allow for calculation.</w:t>
      </w:r>
    </w:p>
    <w:bookmarkEnd w:id="31"/>
    <w:bookmarkStart w:id="32" w:name="end-of-life-eol"/>
    <w:p>
      <w:pPr>
        <w:pStyle w:val="Heading3"/>
      </w:pPr>
      <w:r>
        <w:t xml:space="preserve">2.5. End-of-Life (EoL)</w:t>
      </w:r>
    </w:p>
    <w:p>
      <w:pPr>
        <w:pStyle w:val="FirstParagraph"/>
      </w:pPr>
      <w:r>
        <w:t xml:space="preserve">The fate of the product after its useful life impacts its overall footprint. Circular economy principles can significantly reduce these impacts.</w:t>
      </w:r>
    </w:p>
    <w:p>
      <w:pPr>
        <w:numPr>
          <w:ilvl w:val="0"/>
          <w:numId w:val="1007"/>
        </w:numPr>
        <w:pStyle w:val="Compact"/>
      </w:pPr>
      <w:r>
        <w:rPr>
          <w:bCs/>
          <w:b/>
        </w:rPr>
        <w:t xml:space="preserve">Recyclability Percentage:</w:t>
      </w:r>
      <w:r>
        <w:t xml:space="preserve"> </w:t>
      </w:r>
      <w:r>
        <w:t xml:space="preserve">80% (Illustrative, replacing placeholder `pkiuytrsui`)</w:t>
      </w:r>
    </w:p>
    <w:p>
      <w:pPr>
        <w:numPr>
          <w:ilvl w:val="0"/>
          <w:numId w:val="1007"/>
        </w:numPr>
        <w:pStyle w:val="Compact"/>
      </w:pPr>
      <w:r>
        <w:rPr>
          <w:bCs/>
          <w:b/>
        </w:rPr>
        <w:t xml:space="preserve">Circular/Take-back Programs:</w:t>
      </w:r>
      <w:r>
        <w:t xml:space="preserve"> </w:t>
      </w:r>
      <w:r>
        <w:t xml:space="preserve">Established take-back scheme with material recovery (Illustrative, replacing placeholder `xrkwuwjkre`)</w:t>
      </w:r>
    </w:p>
    <w:p>
      <w:pPr>
        <w:numPr>
          <w:ilvl w:val="0"/>
          <w:numId w:val="1007"/>
        </w:numPr>
        <w:pStyle w:val="Compact"/>
      </w:pPr>
      <w:r>
        <w:rPr>
          <w:iCs/>
          <w:i/>
        </w:rPr>
        <w:t xml:space="preserve">Note: The recyclability percentage (`pkiuytrsui`) and circular program details (`xrkwuwjkre`) were non-numeric placeholders. Illustrative values are used for demonstration.</w:t>
      </w:r>
    </w:p>
    <w:p>
      <w:r>
        <w:pict>
          <v:rect style="width:0;height:1.5pt" o:hralign="center" o:hrstd="t" o:hr="t"/>
        </w:pict>
      </w:r>
    </w:p>
    <w:bookmarkEnd w:id="32"/>
    <w:bookmarkEnd w:id="33"/>
    <w:bookmarkStart w:id="43" w:name="X439a6e6dcb43c636bf515ffaf3f59bce0bd6490"/>
    <w:p>
      <w:pPr>
        <w:pStyle w:val="Heading2"/>
      </w:pPr>
      <w:r>
        <w:t xml:space="preserve">3. Emission Calculation (Activity × Emission Factor = CO2e)</w:t>
      </w:r>
    </w:p>
    <w:p>
      <w:pPr>
        <w:pStyle w:val="FirstParagraph"/>
      </w:pPr>
      <w:r>
        <w:t xml:space="preserve">This section details the calculation of GHG emissions across the lifecycle, categorizing them according to the GHG Protocol\'s Scope 1, 2, and 3. All calculations are based on the illustrative data and relevant emission factors derived from reputable sources.</w:t>
      </w:r>
    </w:p>
    <w:bookmarkStart w:id="34" w:name="emission-factors-used-illustrative"/>
    <w:p>
      <w:pPr>
        <w:pStyle w:val="Heading3"/>
      </w:pPr>
      <w:r>
        <w:t xml:space="preserve">3.1. Emission Factors Used (Illustrative)</w:t>
      </w:r>
    </w:p>
    <w:p>
      <w:pPr>
        <w:pStyle w:val="FirstParagraph"/>
      </w:pPr>
      <w:r>
        <w:t xml:space="preserve">The following illustrative emission factors are applied, drawing from generally accepted databases (e.g., Ecoinvent, DEFRA, US EPA).</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Activity</w:t>
            </w:r>
          </w:p>
        </w:tc>
        <w:tc>
          <w:tcPr/>
          <w:p>
            <w:pPr>
              <w:pStyle w:val="Compact"/>
              <w:jc w:val="left"/>
            </w:pPr>
            <w:r>
              <w:t xml:space="preserve">Emission Factor (kgCO2e/unit)</w:t>
            </w:r>
          </w:p>
        </w:tc>
        <w:tc>
          <w:tcPr/>
          <w:p>
            <w:pPr>
              <w:pStyle w:val="Compact"/>
              <w:jc w:val="left"/>
            </w:pPr>
            <w:r>
              <w:t xml:space="preserve">Source (Illustrative)</w:t>
            </w:r>
          </w:p>
        </w:tc>
      </w:tr>
      <w:tr>
        <w:tc>
          <w:tcPr/>
          <w:p>
            <w:pPr>
              <w:pStyle w:val="Compact"/>
              <w:jc w:val="left"/>
            </w:pPr>
            <w:r>
              <w:t xml:space="preserve">Materials (Steel)</w:t>
            </w:r>
          </w:p>
        </w:tc>
        <w:tc>
          <w:tcPr/>
          <w:p>
            <w:pPr>
              <w:pStyle w:val="Compact"/>
              <w:jc w:val="left"/>
            </w:pPr>
            <w:r>
              <w:t xml:space="preserve">1 kg Steel Production</w:t>
            </w:r>
          </w:p>
        </w:tc>
        <w:tc>
          <w:tcPr/>
          <w:p>
            <w:pPr>
              <w:pStyle w:val="Compact"/>
              <w:jc w:val="left"/>
            </w:pPr>
            <w:r>
              <w:t xml:space="preserve">2.20 kgCO2e/kg</w:t>
            </w:r>
          </w:p>
        </w:tc>
        <w:tc>
          <w:tcPr/>
          <w:p>
            <w:pPr>
              <w:pStyle w:val="Compact"/>
              <w:jc w:val="left"/>
            </w:pPr>
            <w:r>
              <w:t xml:space="preserve">Ecoinvent/8 Billion Trees</w:t>
            </w:r>
          </w:p>
        </w:tc>
      </w:tr>
      <w:tr>
        <w:tc>
          <w:tcPr/>
          <w:p>
            <w:pPr>
              <w:pStyle w:val="Compact"/>
              <w:jc w:val="left"/>
            </w:pPr>
            <w:r>
              <w:t xml:space="preserve">Materials (ABS Plastic)</w:t>
            </w:r>
          </w:p>
        </w:tc>
        <w:tc>
          <w:tcPr/>
          <w:p>
            <w:pPr>
              <w:pStyle w:val="Compact"/>
              <w:jc w:val="left"/>
            </w:pPr>
            <w:r>
              <w:t xml:space="preserve">1 kg ABS Plastic Production</w:t>
            </w:r>
          </w:p>
        </w:tc>
        <w:tc>
          <w:tcPr/>
          <w:p>
            <w:pPr>
              <w:pStyle w:val="Compact"/>
              <w:jc w:val="left"/>
            </w:pPr>
            <w:r>
              <w:t xml:space="preserve">3.13 kgCO2e/kg</w:t>
            </w:r>
          </w:p>
        </w:tc>
        <w:tc>
          <w:tcPr/>
          <w:p>
            <w:pPr>
              <w:pStyle w:val="Compact"/>
              <w:jc w:val="left"/>
            </w:pPr>
            <w:r>
              <w:t xml:space="preserve">Plastics Europe/Climatiq</w:t>
            </w:r>
          </w:p>
        </w:tc>
      </w:tr>
      <w:tr>
        <w:tc>
          <w:tcPr/>
          <w:p>
            <w:pPr>
              <w:pStyle w:val="Compact"/>
              <w:jc w:val="left"/>
            </w:pPr>
            <w:r>
              <w:t xml:space="preserve">Materials (Copper)</w:t>
            </w:r>
          </w:p>
        </w:tc>
        <w:tc>
          <w:tcPr/>
          <w:p>
            <w:pPr>
              <w:pStyle w:val="Compact"/>
              <w:jc w:val="left"/>
            </w:pPr>
            <w:r>
              <w:t xml:space="preserve">1 kg Copper Production</w:t>
            </w:r>
          </w:p>
        </w:tc>
        <w:tc>
          <w:tcPr/>
          <w:p>
            <w:pPr>
              <w:pStyle w:val="Compact"/>
              <w:jc w:val="left"/>
            </w:pPr>
            <w:r>
              <w:t xml:space="preserve">4.10 kgCO2e/kg</w:t>
            </w:r>
          </w:p>
        </w:tc>
        <w:tc>
          <w:tcPr/>
          <w:p>
            <w:pPr>
              <w:pStyle w:val="Compact"/>
              <w:jc w:val="left"/>
            </w:pPr>
            <w:r>
              <w:t xml:space="preserve">LAPP</w:t>
            </w:r>
          </w:p>
        </w:tc>
      </w:tr>
      <w:tr>
        <w:tc>
          <w:tcPr/>
          <w:p>
            <w:pPr>
              <w:pStyle w:val="Compact"/>
              <w:jc w:val="left"/>
            </w:pPr>
            <w:r>
              <w:t xml:space="preserve">Materials (Cardboard)</w:t>
            </w:r>
          </w:p>
        </w:tc>
        <w:tc>
          <w:tcPr/>
          <w:p>
            <w:pPr>
              <w:pStyle w:val="Compact"/>
              <w:jc w:val="left"/>
            </w:pPr>
            <w:r>
              <w:t xml:space="preserve">1 kg Cardboard Production</w:t>
            </w:r>
          </w:p>
        </w:tc>
        <w:tc>
          <w:tcPr/>
          <w:p>
            <w:pPr>
              <w:pStyle w:val="Compact"/>
              <w:jc w:val="left"/>
            </w:pPr>
            <w:r>
              <w:t xml:space="preserve">0.94 kgCO2e/kg</w:t>
            </w:r>
          </w:p>
        </w:tc>
        <w:tc>
          <w:tcPr/>
          <w:p>
            <w:pPr>
              <w:pStyle w:val="Compact"/>
              <w:jc w:val="left"/>
            </w:pPr>
            <w:r>
              <w:t xml:space="preserve">Consumer Ecology/Group O</w:t>
            </w:r>
          </w:p>
        </w:tc>
      </w:tr>
      <w:tr>
        <w:tc>
          <w:tcPr/>
          <w:p>
            <w:pPr>
              <w:pStyle w:val="Compact"/>
              <w:jc w:val="left"/>
            </w:pPr>
            <w:r>
              <w:t xml:space="preserve">Electricity (China Grid)</w:t>
            </w:r>
          </w:p>
        </w:tc>
        <w:tc>
          <w:tcPr/>
          <w:p>
            <w:pPr>
              <w:pStyle w:val="Compact"/>
              <w:jc w:val="left"/>
            </w:pPr>
            <w:r>
              <w:t xml:space="preserve">1 kWh Electricity (China)</w:t>
            </w:r>
          </w:p>
        </w:tc>
        <w:tc>
          <w:tcPr/>
          <w:p>
            <w:pPr>
              <w:pStyle w:val="Compact"/>
              <w:jc w:val="left"/>
            </w:pPr>
            <w:r>
              <w:t xml:space="preserve">0.60 kgCO2e/kWh</w:t>
            </w:r>
          </w:p>
        </w:tc>
        <w:tc>
          <w:tcPr/>
          <w:p>
            <w:pPr>
              <w:pStyle w:val="Compact"/>
              <w:jc w:val="left"/>
            </w:pPr>
            <w:r>
              <w:t xml:space="preserve">IEA/OAE Publishing Inc./Consumer Ecology</w:t>
            </w:r>
          </w:p>
        </w:tc>
      </w:tr>
      <w:tr>
        <w:tc>
          <w:tcPr/>
          <w:p>
            <w:pPr>
              <w:pStyle w:val="Compact"/>
              <w:jc w:val="left"/>
            </w:pPr>
            <w:r>
              <w:t xml:space="preserve">Electricity (Green Tariff)</w:t>
            </w:r>
          </w:p>
        </w:tc>
        <w:tc>
          <w:tcPr/>
          <w:p>
            <w:pPr>
              <w:pStyle w:val="Compact"/>
              <w:jc w:val="left"/>
            </w:pPr>
            <w:r>
              <w:t xml:space="preserve">1 kWh Green Electricity</w:t>
            </w:r>
          </w:p>
        </w:tc>
        <w:tc>
          <w:tcPr/>
          <w:p>
            <w:pPr>
              <w:pStyle w:val="Compact"/>
              <w:jc w:val="left"/>
            </w:pPr>
            <w:r>
              <w:t xml:space="preserve">0.05 kgCO2e/kWh</w:t>
            </w:r>
          </w:p>
        </w:tc>
        <w:tc>
          <w:tcPr/>
          <w:p>
            <w:pPr>
              <w:pStyle w:val="Compact"/>
              <w:jc w:val="left"/>
            </w:pPr>
            <w:r>
              <w:t xml:space="preserve">(Illustrative, residual mix)</w:t>
            </w:r>
          </w:p>
        </w:tc>
      </w:tr>
      <w:tr>
        <w:tc>
          <w:tcPr/>
          <w:p>
            <w:pPr>
              <w:pStyle w:val="Compact"/>
              <w:jc w:val="left"/>
            </w:pPr>
            <w:r>
              <w:t xml:space="preserve">Road Transport (HGV)</w:t>
            </w:r>
          </w:p>
        </w:tc>
        <w:tc>
          <w:tcPr/>
          <w:p>
            <w:pPr>
              <w:pStyle w:val="Compact"/>
              <w:jc w:val="left"/>
            </w:pPr>
            <w:r>
              <w:t xml:space="preserve">1 tonne-km (tkm) HGV</w:t>
            </w:r>
          </w:p>
        </w:tc>
        <w:tc>
          <w:tcPr/>
          <w:p>
            <w:pPr>
              <w:pStyle w:val="Compact"/>
              <w:jc w:val="left"/>
            </w:pPr>
            <w:r>
              <w:t xml:space="preserve">0.09 kgCO2e/tkm</w:t>
            </w:r>
          </w:p>
        </w:tc>
        <w:tc>
          <w:tcPr/>
          <w:p>
            <w:pPr>
              <w:pStyle w:val="Compact"/>
              <w:jc w:val="left"/>
            </w:pPr>
            <w:r>
              <w:t xml:space="preserve">DEFRA/IPCC</w:t>
            </w:r>
          </w:p>
        </w:tc>
      </w:tr>
      <w:tr>
        <w:tc>
          <w:tcPr/>
          <w:p>
            <w:pPr>
              <w:pStyle w:val="Compact"/>
              <w:jc w:val="left"/>
            </w:pPr>
            <w:r>
              <w:t xml:space="preserve">Parcel Service (Last Mile)</w:t>
            </w:r>
          </w:p>
        </w:tc>
        <w:tc>
          <w:tcPr/>
          <w:p>
            <w:pPr>
              <w:pStyle w:val="Compact"/>
              <w:jc w:val="left"/>
            </w:pPr>
            <w:r>
              <w:t xml:space="preserve">1 unit delivery</w:t>
            </w:r>
          </w:p>
        </w:tc>
        <w:tc>
          <w:tcPr/>
          <w:p>
            <w:pPr>
              <w:pStyle w:val="Compact"/>
              <w:jc w:val="left"/>
            </w:pPr>
            <w:r>
              <w:t xml:space="preserve">0.30 kgCO2e/unit</w:t>
            </w:r>
          </w:p>
        </w:tc>
        <w:tc>
          <w:tcPr/>
          <w:p>
            <w:pPr>
              <w:pStyle w:val="Compact"/>
              <w:jc w:val="left"/>
            </w:pPr>
            <w:r>
              <w:t xml:space="preserve">University of Michigan</w:t>
            </w:r>
          </w:p>
        </w:tc>
      </w:tr>
      <w:tr>
        <w:tc>
          <w:tcPr/>
          <w:p>
            <w:pPr>
              <w:pStyle w:val="Compact"/>
              <w:jc w:val="left"/>
            </w:pPr>
            <w:r>
              <w:t xml:space="preserve">Electricity (Europe Grid)</w:t>
            </w:r>
          </w:p>
        </w:tc>
        <w:tc>
          <w:tcPr/>
          <w:p>
            <w:pPr>
              <w:pStyle w:val="Compact"/>
              <w:jc w:val="left"/>
            </w:pPr>
            <w:r>
              <w:t xml:space="preserve">1 kWh Electricity (Europe)</w:t>
            </w:r>
          </w:p>
        </w:tc>
        <w:tc>
          <w:tcPr/>
          <w:p>
            <w:pPr>
              <w:pStyle w:val="Compact"/>
              <w:jc w:val="left"/>
            </w:pPr>
            <w:r>
              <w:t xml:space="preserve">0.25 kgCO2e/kWh</w:t>
            </w:r>
          </w:p>
        </w:tc>
        <w:tc>
          <w:tcPr/>
          <w:p>
            <w:pPr>
              <w:pStyle w:val="Compact"/>
              <w:jc w:val="left"/>
            </w:pPr>
            <w:r>
              <w:t xml:space="preserve">Climatiq/Ember/EEA</w:t>
            </w:r>
          </w:p>
        </w:tc>
      </w:tr>
      <w:tr>
        <w:tc>
          <w:tcPr/>
          <w:p>
            <w:pPr>
              <w:pStyle w:val="Compact"/>
              <w:jc w:val="left"/>
            </w:pPr>
            <w:r>
              <w:t xml:space="preserve">End-of-Life (Landfill/Incineration)</w:t>
            </w:r>
          </w:p>
        </w:tc>
        <w:tc>
          <w:tcPr/>
          <w:p>
            <w:pPr>
              <w:pStyle w:val="Compact"/>
              <w:jc w:val="left"/>
            </w:pPr>
            <w:r>
              <w:t xml:space="preserve">1 kg Waste Disposal</w:t>
            </w:r>
          </w:p>
        </w:tc>
        <w:tc>
          <w:tcPr/>
          <w:p>
            <w:pPr>
              <w:pStyle w:val="Compact"/>
              <w:jc w:val="left"/>
            </w:pPr>
            <w:r>
              <w:t xml:space="preserve">0.50 kgCO2e/kg</w:t>
            </w:r>
          </w:p>
        </w:tc>
        <w:tc>
          <w:tcPr/>
          <w:p>
            <w:pPr>
              <w:pStyle w:val="Compact"/>
              <w:jc w:val="left"/>
            </w:pPr>
            <w:r>
              <w:t xml:space="preserve">How To Calculate The Carbon Footprint Of One Corrugated Box?</w:t>
            </w:r>
          </w:p>
        </w:tc>
      </w:tr>
    </w:tbl>
    <w:bookmarkEnd w:id="34"/>
    <w:bookmarkStart w:id="40" w:name="lifecycle-ghg-emissions-breakdown"/>
    <w:p>
      <w:pPr>
        <w:pStyle w:val="Heading3"/>
      </w:pPr>
      <w:r>
        <w:t xml:space="preserve">3.2. Lifecycle GHG Emissions Breakdown</w:t>
      </w:r>
    </w:p>
    <w:bookmarkStart w:id="35" w:name="X06a032b4b904b4e0c4cbf2970bc9aee5d87af00"/>
    <w:p>
      <w:pPr>
        <w:pStyle w:val="Heading4"/>
      </w:pPr>
      <w:r>
        <w:t xml:space="preserve">3.2.1. Raw Material Acquisition and Pre-processing (Scope 3 - Upstream)</w:t>
      </w:r>
    </w:p>
    <w:p>
      <w:pPr>
        <w:pStyle w:val="FirstParagraph"/>
      </w:pPr>
      <w:r>
        <w:t xml:space="preserve">Calculated based on the illustrative BOM and corresponding emission factors.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Material</w:t>
            </w:r>
          </w:p>
        </w:tc>
        <w:tc>
          <w:tcPr/>
          <w:p>
            <w:pPr>
              <w:pStyle w:val="Compact"/>
              <w:jc w:val="left"/>
            </w:pPr>
            <w:r>
              <w:t xml:space="preserve">Quantity (kg)</w:t>
            </w:r>
          </w:p>
        </w:tc>
        <w:tc>
          <w:tcPr/>
          <w:p>
            <w:pPr>
              <w:pStyle w:val="Compact"/>
              <w:jc w:val="left"/>
            </w:pPr>
            <w:r>
              <w:t xml:space="preserve">Emission Factor (kgCO2e/kg)</w:t>
            </w:r>
          </w:p>
        </w:tc>
        <w:tc>
          <w:tcPr/>
          <w:p>
            <w:pPr>
              <w:pStyle w:val="Compact"/>
              <w:jc w:val="left"/>
            </w:pPr>
            <w:r>
              <w:t xml:space="preserve">Total Emissions (kgCO2e)</w:t>
            </w:r>
          </w:p>
        </w:tc>
      </w:tr>
      <w:tr>
        <w:tc>
          <w:tcPr/>
          <w:p>
            <w:pPr>
              <w:pStyle w:val="Compact"/>
              <w:jc w:val="left"/>
            </w:pPr>
            <w:r>
              <w:t xml:space="preserve">Steel Alloy</w:t>
            </w:r>
          </w:p>
        </w:tc>
        <w:tc>
          <w:tcPr/>
          <w:p>
            <w:pPr>
              <w:pStyle w:val="Compact"/>
              <w:jc w:val="left"/>
            </w:pPr>
            <w:r>
              <w:t xml:space="preserve">2.0</w:t>
            </w:r>
          </w:p>
        </w:tc>
        <w:tc>
          <w:tcPr/>
          <w:p>
            <w:pPr>
              <w:pStyle w:val="Compact"/>
              <w:jc w:val="left"/>
            </w:pPr>
            <w:r>
              <w:t xml:space="preserve">2.20</w:t>
            </w:r>
          </w:p>
        </w:tc>
        <w:tc>
          <w:tcPr/>
          <w:p>
            <w:pPr>
              <w:pStyle w:val="Compact"/>
              <w:jc w:val="left"/>
            </w:pPr>
            <w:r>
              <w:t xml:space="preserve">4.40</w:t>
            </w:r>
          </w:p>
        </w:tc>
      </w:tr>
      <w:tr>
        <w:tc>
          <w:tcPr/>
          <w:p>
            <w:pPr>
              <w:pStyle w:val="Compact"/>
              <w:jc w:val="left"/>
            </w:pPr>
            <w:r>
              <w:t xml:space="preserve">ABS Plastic Granules</w:t>
            </w:r>
          </w:p>
        </w:tc>
        <w:tc>
          <w:tcPr/>
          <w:p>
            <w:pPr>
              <w:pStyle w:val="Compact"/>
              <w:jc w:val="left"/>
            </w:pPr>
            <w:r>
              <w:t xml:space="preserve">0.5</w:t>
            </w:r>
          </w:p>
        </w:tc>
        <w:tc>
          <w:tcPr/>
          <w:p>
            <w:pPr>
              <w:pStyle w:val="Compact"/>
              <w:jc w:val="left"/>
            </w:pPr>
            <w:r>
              <w:t xml:space="preserve">3.13</w:t>
            </w:r>
          </w:p>
        </w:tc>
        <w:tc>
          <w:tcPr/>
          <w:p>
            <w:pPr>
              <w:pStyle w:val="Compact"/>
              <w:jc w:val="left"/>
            </w:pPr>
            <w:r>
              <w:t xml:space="preserve">1.565</w:t>
            </w:r>
          </w:p>
        </w:tc>
      </w:tr>
      <w:tr>
        <w:tc>
          <w:tcPr/>
          <w:p>
            <w:pPr>
              <w:pStyle w:val="Compact"/>
              <w:jc w:val="left"/>
            </w:pPr>
            <w:r>
              <w:t xml:space="preserve">Copper Wiring</w:t>
            </w:r>
          </w:p>
        </w:tc>
        <w:tc>
          <w:tcPr/>
          <w:p>
            <w:pPr>
              <w:pStyle w:val="Compact"/>
              <w:jc w:val="left"/>
            </w:pPr>
            <w:r>
              <w:t xml:space="preserve">0.1</w:t>
            </w:r>
          </w:p>
        </w:tc>
        <w:tc>
          <w:tcPr/>
          <w:p>
            <w:pPr>
              <w:pStyle w:val="Compact"/>
              <w:jc w:val="left"/>
            </w:pPr>
            <w:r>
              <w:t xml:space="preserve">4.10</w:t>
            </w:r>
          </w:p>
        </w:tc>
        <w:tc>
          <w:tcPr/>
          <w:p>
            <w:pPr>
              <w:pStyle w:val="Compact"/>
              <w:jc w:val="left"/>
            </w:pPr>
            <w:r>
              <w:t xml:space="preserve">0.41</w:t>
            </w:r>
          </w:p>
        </w:tc>
      </w:tr>
      <w:tr>
        <w:tc>
          <w:tcPr/>
          <w:p>
            <w:pPr>
              <w:pStyle w:val="Compact"/>
              <w:jc w:val="left"/>
            </w:pPr>
            <w:r>
              <w:t xml:space="preserve">Cardboard Packaging</w:t>
            </w:r>
          </w:p>
        </w:tc>
        <w:tc>
          <w:tcPr/>
          <w:p>
            <w:pPr>
              <w:pStyle w:val="Compact"/>
              <w:jc w:val="left"/>
            </w:pPr>
            <w:r>
              <w:t xml:space="preserve">0.3</w:t>
            </w:r>
          </w:p>
        </w:tc>
        <w:tc>
          <w:tcPr/>
          <w:p>
            <w:pPr>
              <w:pStyle w:val="Compact"/>
              <w:jc w:val="left"/>
            </w:pPr>
            <w:r>
              <w:t xml:space="preserve">0.94</w:t>
            </w:r>
          </w:p>
        </w:tc>
        <w:tc>
          <w:tcPr/>
          <w:p>
            <w:pPr>
              <w:pStyle w:val="Compact"/>
              <w:jc w:val="left"/>
            </w:pPr>
            <w:r>
              <w:t xml:space="preserve">0.282</w:t>
            </w:r>
          </w:p>
        </w:tc>
      </w:tr>
      <w:tr>
        <w:tc>
          <w:tcPr>
            <w:gridSpan w:val="3"/>
          </w:tcPr>
          <w:p>
            <w:pPr>
              <w:pStyle w:val="Compact"/>
              <w:jc w:val="left"/>
            </w:pPr>
            <w:r>
              <w:rPr>
                <w:bCs/>
                <w:b/>
              </w:rPr>
              <w:t xml:space="preserve">Subtotal (Raw Materials)</w:t>
            </w:r>
          </w:p>
        </w:tc>
        <w:tc>
          <w:tcPr/>
          <w:p>
            <w:pPr>
              <w:pStyle w:val="Compact"/>
              <w:jc w:val="left"/>
            </w:pPr>
            <w:r>
              <w:rPr>
                <w:bCs/>
                <w:b/>
              </w:rPr>
              <w:t xml:space="preserve">6.657</w:t>
            </w:r>
          </w:p>
        </w:tc>
      </w:tr>
    </w:tbl>
    <w:p>
      <w:pPr>
        <w:pStyle w:val="BodyText"/>
      </w:pPr>
      <w:r>
        <w:rPr>
          <w:bCs/>
          <w:b/>
        </w:rPr>
        <w:t xml:space="preserve">Total Raw Material Emissions: 6.657 kgCO2e</w:t>
      </w:r>
    </w:p>
    <w:bookmarkEnd w:id="35"/>
    <w:bookmarkStart w:id="36" w:name="manufacturing-scope-1-scope-2"/>
    <w:p>
      <w:pPr>
        <w:pStyle w:val="Heading4"/>
      </w:pPr>
      <w:r>
        <w:t xml:space="preserve">3.2.2. Manufacturing (Scope 1, Scope 2)</w:t>
      </w:r>
    </w:p>
    <w:p>
      <w:pPr>
        <w:pStyle w:val="FirstParagraph"/>
      </w:pPr>
      <w:r>
        <w:t xml:space="preserve">Production occurs in China. The illustrative energy intensity is 10 kWh/unit, with 50% from a green tariff and 50% from the China grid mix.</w:t>
      </w:r>
    </w:p>
    <w:p>
      <w:pPr>
        <w:numPr>
          <w:ilvl w:val="0"/>
          <w:numId w:val="1008"/>
        </w:numPr>
        <w:pStyle w:val="Compact"/>
      </w:pPr>
      <w:r>
        <w:t xml:space="preserve">Total Energy: 10 kWh/unit</w:t>
      </w:r>
    </w:p>
    <w:p>
      <w:pPr>
        <w:numPr>
          <w:ilvl w:val="0"/>
          <w:numId w:val="1008"/>
        </w:numPr>
        <w:pStyle w:val="Compact"/>
      </w:pPr>
      <w:r>
        <w:t xml:space="preserve">Green Energy: 10 kWh * 0.50 = 5 kWh</w:t>
      </w:r>
    </w:p>
    <w:p>
      <w:pPr>
        <w:numPr>
          <w:ilvl w:val="0"/>
          <w:numId w:val="1008"/>
        </w:numPr>
        <w:pStyle w:val="Compact"/>
      </w:pPr>
      <w:r>
        <w:t xml:space="preserve">Grid Energy: 10 kWh * 0.50 = 5 kWh</w:t>
      </w:r>
    </w:p>
    <w:p>
      <w:pPr>
        <w:numPr>
          <w:ilvl w:val="0"/>
          <w:numId w:val="1008"/>
        </w:numPr>
        <w:pStyle w:val="Compact"/>
      </w:pPr>
      <w:r>
        <w:t xml:space="preserve">Emissions from Green Energy: 5 kWh * 0.05 kgCO2e/kWh = 0.25 kgCO2e (Scope 2)</w:t>
      </w:r>
    </w:p>
    <w:p>
      <w:pPr>
        <w:numPr>
          <w:ilvl w:val="0"/>
          <w:numId w:val="1008"/>
        </w:numPr>
        <w:pStyle w:val="Compact"/>
      </w:pPr>
      <w:r>
        <w:t xml:space="preserve">Emissions from Grid Energy: 5 kWh * 0.60 kgCO2e/kWh = 3.00 kgCO2e (Scope 2)</w:t>
      </w:r>
    </w:p>
    <w:p>
      <w:pPr>
        <w:numPr>
          <w:ilvl w:val="0"/>
          <w:numId w:val="1008"/>
        </w:numPr>
        <w:pStyle w:val="Compact"/>
      </w:pPr>
      <w:r>
        <w:t xml:space="preserve">Direct Process Emissions (Scope 1): Assuming negligible direct emissions for this illustrative example. Actual processes would include e.g., fugitive emissions.</w:t>
      </w:r>
    </w:p>
    <w:p>
      <w:pPr>
        <w:pStyle w:val="FirstParagraph"/>
      </w:pPr>
      <w:r>
        <w:rPr>
          <w:bCs/>
          <w:b/>
        </w:rPr>
        <w:t xml:space="preserve">Total Manufacturing Emissions: 3.25 kgCO2e (predominantly Scope 2)</w:t>
      </w:r>
    </w:p>
    <w:bookmarkEnd w:id="36"/>
    <w:bookmarkStart w:id="37" w:name="Xb8ec2ba355d187edc2612e21201e335953f749e"/>
    <w:p>
      <w:pPr>
        <w:pStyle w:val="Heading4"/>
      </w:pPr>
      <w:r>
        <w:t xml:space="preserve">3.2.3. Transport and Distribution (Scope 3 - Upstream &amp; Downstream)</w:t>
      </w:r>
    </w:p>
    <w:p>
      <w:pPr>
        <w:pStyle w:val="FirstParagraph"/>
      </w:pPr>
      <w:r>
        <w:t xml:space="preserve">Illustrative upstream transport of raw materials and downstream transport of the finished product.</w:t>
      </w:r>
    </w:p>
    <w:p>
      <w:pPr>
        <w:numPr>
          <w:ilvl w:val="0"/>
          <w:numId w:val="1009"/>
        </w:numPr>
        <w:pStyle w:val="Compact"/>
      </w:pPr>
      <w:r>
        <w:t xml:space="preserve">Upstream Transport (Raw Materials to Factory): Based on total illustrative material weight (2.9 kg) and distance (500 km).</w:t>
      </w:r>
      <w:r>
        <w:br/>
      </w:r>
      <w:r>
        <w:t xml:space="preserve">Total Material Weight: 2.9 kg (0.0029 tonnes)</w:t>
      </w:r>
      <w:r>
        <w:br/>
      </w:r>
      <w:r>
        <w:t xml:space="preserve">Distance: 500 km</w:t>
      </w:r>
      <w:r>
        <w:br/>
      </w:r>
      <w:r>
        <w:t xml:space="preserve">Emission Factor (HGV): 0.09 kgCO2e/tkm</w:t>
      </w:r>
      <w:r>
        <w:br/>
      </w:r>
      <w:r>
        <w:t xml:space="preserve">Upstream Emissions: 0.0029 tonnes * 500 km * 0.09 kgCO2e/tkm = 0.1305 kgCO2e</w:t>
      </w:r>
    </w:p>
    <w:p>
      <w:pPr>
        <w:numPr>
          <w:ilvl w:val="0"/>
          <w:numId w:val="1009"/>
        </w:numPr>
        <w:pStyle w:val="Compact"/>
      </w:pPr>
      <w:r>
        <w:t xml:space="preserve">Downstream Transport (Factory to Customer): Assuming finished product weight ~3 kg and 500 km distance.</w:t>
      </w:r>
      <w:r>
        <w:br/>
      </w:r>
      <w:r>
        <w:t xml:space="preserve">Product Weight: ~3 kg (0.003 tonnes)</w:t>
      </w:r>
      <w:r>
        <w:br/>
      </w:r>
      <w:r>
        <w:t xml:space="preserve">Distance: 500 km</w:t>
      </w:r>
      <w:r>
        <w:br/>
      </w:r>
      <w:r>
        <w:t xml:space="preserve">Emission Factor (HGV): 0.09 kgCO2e/tkm</w:t>
      </w:r>
      <w:r>
        <w:br/>
      </w:r>
      <w:r>
        <w:t xml:space="preserve">Downstream Emissions: 0.003 tonnes * 500 km * 0.09 kgCO2e/tkm = 0.135 kgCO2e</w:t>
      </w:r>
    </w:p>
    <w:p>
      <w:pPr>
        <w:numPr>
          <w:ilvl w:val="0"/>
          <w:numId w:val="1009"/>
        </w:numPr>
        <w:pStyle w:val="Compact"/>
      </w:pPr>
      <w:r>
        <w:t xml:space="preserve">Last-Mile Delivery: 0.30 kgCO2e/unit (Illustrative)</w:t>
      </w:r>
    </w:p>
    <w:p>
      <w:pPr>
        <w:pStyle w:val="FirstParagraph"/>
      </w:pPr>
      <w:r>
        <w:rPr>
          <w:bCs/>
          <w:b/>
        </w:rPr>
        <w:t xml:space="preserve">Total Transport Emissions: 0.1305 (Upstream) + 0.135 (Downstream) + 0.30 (Last-Mile) = 0.5655 kgCO2e</w:t>
      </w:r>
    </w:p>
    <w:bookmarkEnd w:id="37"/>
    <w:bookmarkStart w:id="38" w:name="use-phase-scope-3---downstream"/>
    <w:p>
      <w:pPr>
        <w:pStyle w:val="Heading4"/>
      </w:pPr>
      <w:r>
        <w:t xml:space="preserve">3.2.4. Use Phase (Scope 3 - Downstream)</w:t>
      </w:r>
    </w:p>
    <w:p>
      <w:pPr>
        <w:pStyle w:val="FirstParagraph"/>
      </w:pPr>
      <w:r>
        <w:t xml:space="preserve">Illustrative product lifespan of 5 years and energy consumption of 20 kWh/year. Assuming a generic European electricity mix for consumer use.</w:t>
      </w:r>
    </w:p>
    <w:p>
      <w:pPr>
        <w:numPr>
          <w:ilvl w:val="0"/>
          <w:numId w:val="1010"/>
        </w:numPr>
        <w:pStyle w:val="Compact"/>
      </w:pPr>
      <w:r>
        <w:t xml:space="preserve">Total Energy in Use: 20 kWh/year * 5 years = 100 kWh</w:t>
      </w:r>
    </w:p>
    <w:p>
      <w:pPr>
        <w:numPr>
          <w:ilvl w:val="0"/>
          <w:numId w:val="1010"/>
        </w:numPr>
        <w:pStyle w:val="Compact"/>
      </w:pPr>
      <w:r>
        <w:t xml:space="preserve">Emissions from Use Phase: 100 kWh * 0.25 kgCO2e/kWh = 25.00 kgCO2e</w:t>
      </w:r>
    </w:p>
    <w:p>
      <w:pPr>
        <w:pStyle w:val="FirstParagraph"/>
      </w:pPr>
      <w:r>
        <w:rPr>
          <w:bCs/>
          <w:b/>
        </w:rPr>
        <w:t xml:space="preserve">Total Use Phase Emissions: 25.00 kgCO2e</w:t>
      </w:r>
    </w:p>
    <w:bookmarkEnd w:id="38"/>
    <w:bookmarkStart w:id="39" w:name="end-of-life-scope-3---downstream"/>
    <w:p>
      <w:pPr>
        <w:pStyle w:val="Heading4"/>
      </w:pPr>
      <w:r>
        <w:t xml:space="preserve">3.2.5. End-of-Life (Scope 3 - Downstream)</w:t>
      </w:r>
    </w:p>
    <w:p>
      <w:pPr>
        <w:pStyle w:val="FirstParagraph"/>
      </w:pPr>
      <w:r>
        <w:t xml:space="preserve">Considering an illustrative 80% recyclability percentage. The avoided emissions from recycling are calculated using an assumed 50% emission reduction for recycled materials compared to virgin production. The remaining 20% goes to landfill or incineration.</w:t>
      </w:r>
    </w:p>
    <w:p>
      <w:pPr>
        <w:numPr>
          <w:ilvl w:val="0"/>
          <w:numId w:val="1011"/>
        </w:numPr>
        <w:pStyle w:val="Compact"/>
      </w:pPr>
      <w:r>
        <w:t xml:space="preserve">Total product weight for EoL: ~3 kg (illustrative)</w:t>
      </w:r>
    </w:p>
    <w:p>
      <w:pPr>
        <w:numPr>
          <w:ilvl w:val="0"/>
          <w:numId w:val="1011"/>
        </w:numPr>
        <w:pStyle w:val="Compact"/>
      </w:pPr>
      <w:r>
        <w:t xml:space="preserve">Recycled material: 3 kg * 0.80 = 2.4 kg</w:t>
      </w:r>
    </w:p>
    <w:p>
      <w:pPr>
        <w:numPr>
          <w:ilvl w:val="0"/>
          <w:numId w:val="1011"/>
        </w:numPr>
        <w:pStyle w:val="Compact"/>
      </w:pPr>
      <w:r>
        <w:t xml:space="preserve">Waste material: 3 kg * 0.20 = 0.6 kg</w:t>
      </w:r>
    </w:p>
    <w:p>
      <w:pPr>
        <w:numPr>
          <w:ilvl w:val="0"/>
          <w:numId w:val="1011"/>
        </w:numPr>
        <w:pStyle w:val="Compact"/>
      </w:pPr>
      <w:r>
        <w:t xml:space="preserve">Avoided emissions from recycling (Illustrative):</w:t>
      </w:r>
      <w:r>
        <w:br/>
      </w:r>
      <w:r>
        <w:t xml:space="preserve">Virgin material emissions (from BOM subtotal): 6.657 kgCO2e</w:t>
      </w:r>
      <w:r>
        <w:br/>
      </w:r>
      <w:r>
        <w:t xml:space="preserve">Avoided: 6.657 kgCO2e * 0.80 * 0.50 = -2.6628 kgCO2e</w:t>
      </w:r>
    </w:p>
    <w:p>
      <w:pPr>
        <w:numPr>
          <w:ilvl w:val="0"/>
          <w:numId w:val="1011"/>
        </w:numPr>
        <w:pStyle w:val="Compact"/>
      </w:pPr>
      <w:r>
        <w:t xml:space="preserve">Emissions from waste (landfill/incineration, Illustrative): 0.6 kg waste * 0.50 kgCO2e/kg = 0.30 kgCO2e</w:t>
      </w:r>
    </w:p>
    <w:p>
      <w:pPr>
        <w:numPr>
          <w:ilvl w:val="0"/>
          <w:numId w:val="1011"/>
        </w:numPr>
        <w:pStyle w:val="Compact"/>
      </w:pPr>
      <w:r>
        <w:rPr>
          <w:iCs/>
          <w:i/>
        </w:rPr>
        <w:t xml:space="preserve">Note: Precise EoL calculations are complex and depend on specific waste management infrastructure and material types. The "avoided burden" approach is applied for recycled content.</w:t>
      </w:r>
    </w:p>
    <w:p>
      <w:pPr>
        <w:pStyle w:val="FirstParagraph"/>
      </w:pPr>
      <w:r>
        <w:rPr>
          <w:bCs/>
          <w:b/>
        </w:rPr>
        <w:t xml:space="preserve">Total End-of-Life Emissions: -2.6628 (Avoided) + 0.30 (Waste) = -2.3628 kgCO2e</w:t>
      </w:r>
    </w:p>
    <w:bookmarkEnd w:id="39"/>
    <w:bookmarkEnd w:id="40"/>
    <w:bookmarkStart w:id="41" w:name="application-of-2026-lsr-standard"/>
    <w:p>
      <w:pPr>
        <w:pStyle w:val="Heading3"/>
      </w:pPr>
      <w:r>
        <w:t xml:space="preserve">3.3. Application of 2026 LSR Standard</w:t>
      </w:r>
    </w:p>
    <w:p>
      <w:pPr>
        <w:pStyle w:val="FirstParagraph"/>
      </w:pPr>
      <w:r>
        <w:t xml:space="preserve">The 2026 Land Sector and Removals (LSR) Standard requires explicit accounting for land use change and biogenic carbon removals. For "wuiuofqezs," the primary relevance would be in the sourcing of bio-based materials (if any) and land use impacts associated with raw material extraction. In this illustrative example, a significant direct impact related to LSR is not identified from the given parameters (which primarily focus on industrial materials). However, if the product contained wood, cotton, or other agricultural products, their land use change emissions and biogenic carbon uptake/release would be calculated and reported separately, adhering to the standard\'s detailed guidance for removals and emissions from biological processes.</w:t>
      </w:r>
    </w:p>
    <w:bookmarkEnd w:id="41"/>
    <w:bookmarkStart w:id="42" w:name="total-product-carbon-footprint"/>
    <w:p>
      <w:pPr>
        <w:pStyle w:val="Heading3"/>
      </w:pPr>
      <w:r>
        <w:t xml:space="preserve">3.4. Total Product Carbon Footprint</w:t>
      </w:r>
    </w:p>
    <w:p>
      <w:pPr>
        <w:pStyle w:val="FirstParagraph"/>
      </w:pPr>
      <w:r>
        <w:t xml:space="preserve">Summing up the emissions from all lifecycle stages: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(kgCO2e)</w:t>
            </w:r>
          </w:p>
        </w:tc>
        <w:tc>
          <w:tcPr/>
          <w:p>
            <w:pPr>
              <w:pStyle w:val="Compact"/>
              <w:jc w:val="left"/>
            </w:pPr>
            <w:r>
              <w:t xml:space="preserve">GHG Scope</w:t>
            </w:r>
          </w:p>
        </w:tc>
      </w:tr>
      <w:tr>
        <w:tc>
          <w:tcPr/>
          <w:p>
            <w:pPr>
              <w:pStyle w:val="Compact"/>
              <w:jc w:val="left"/>
            </w:pPr>
            <w:r>
              <w:t xml:space="preserve">Raw Material Acquisition &amp; Pre-processing</w:t>
            </w:r>
          </w:p>
        </w:tc>
        <w:tc>
          <w:tcPr/>
          <w:p>
            <w:pPr>
              <w:pStyle w:val="Compact"/>
              <w:jc w:val="left"/>
            </w:pPr>
            <w:r>
              <w:t xml:space="preserve">6.657</w:t>
            </w:r>
          </w:p>
        </w:tc>
        <w:tc>
          <w:tcPr/>
          <w:p>
            <w:pPr>
              <w:pStyle w:val="Compact"/>
              <w:jc w:val="left"/>
            </w:pPr>
            <w:r>
              <w:t xml:space="preserve">Scope 3 (Upstream)</w:t>
            </w:r>
          </w:p>
        </w:tc>
      </w:tr>
      <w:tr>
        <w:tc>
          <w:tcPr/>
          <w:p>
            <w:pPr>
              <w:pStyle w:val="Compact"/>
              <w:jc w:val="left"/>
            </w:pPr>
            <w:r>
              <w:t xml:space="preserve">Manufacturing (incl. energy)</w:t>
            </w:r>
          </w:p>
        </w:tc>
        <w:tc>
          <w:tcPr/>
          <w:p>
            <w:pPr>
              <w:pStyle w:val="Compact"/>
              <w:jc w:val="left"/>
            </w:pPr>
            <w:r>
              <w:t xml:space="preserve">3.25</w:t>
            </w:r>
          </w:p>
        </w:tc>
        <w:tc>
          <w:tcPr/>
          <w:p>
            <w:pPr>
              <w:pStyle w:val="Compact"/>
              <w:jc w:val="left"/>
            </w:pPr>
            <w:r>
              <w:t xml:space="preserve">Scope 1 &amp; 2</w:t>
            </w:r>
          </w:p>
        </w:tc>
      </w:tr>
      <w:tr>
        <w:tc>
          <w:tcPr/>
          <w:p>
            <w:pPr>
              <w:pStyle w:val="Compact"/>
              <w:jc w:val="left"/>
            </w:pPr>
            <w:r>
              <w:t xml:space="preserve">Transport &amp; Distribution</w:t>
            </w:r>
          </w:p>
        </w:tc>
        <w:tc>
          <w:tcPr/>
          <w:p>
            <w:pPr>
              <w:pStyle w:val="Compact"/>
              <w:jc w:val="left"/>
            </w:pPr>
            <w:r>
              <w:t xml:space="preserve">0.5655</w:t>
            </w:r>
          </w:p>
        </w:tc>
        <w:tc>
          <w:tcPr/>
          <w:p>
            <w:pPr>
              <w:pStyle w:val="Compact"/>
              <w:jc w:val="left"/>
            </w:pPr>
            <w:r>
              <w:t xml:space="preserve">Scope 3 (Upstream &amp; Downstream)</w:t>
            </w:r>
          </w:p>
        </w:tc>
      </w:tr>
      <w:tr>
        <w:tc>
          <w:tcPr/>
          <w:p>
            <w:pPr>
              <w:pStyle w:val="Compact"/>
              <w:jc w:val="left"/>
            </w:pPr>
            <w:r>
              <w:t xml:space="preserve">Use Phase</w:t>
            </w:r>
          </w:p>
        </w:tc>
        <w:tc>
          <w:tcPr/>
          <w:p>
            <w:pPr>
              <w:pStyle w:val="Compact"/>
              <w:jc w:val="left"/>
            </w:pPr>
            <w:r>
              <w:t xml:space="preserve">25.00</w:t>
            </w:r>
          </w:p>
        </w:tc>
        <w:tc>
          <w:tcPr/>
          <w:p>
            <w:pPr>
              <w:pStyle w:val="Compact"/>
              <w:jc w:val="left"/>
            </w:pPr>
            <w:r>
              <w:t xml:space="preserve">Scope 3 (Downstream)</w:t>
            </w:r>
          </w:p>
        </w:tc>
      </w:tr>
      <w:tr>
        <w:tc>
          <w:tcPr/>
          <w:p>
            <w:pPr>
              <w:pStyle w:val="Compact"/>
              <w:jc w:val="left"/>
            </w:pPr>
            <w:r>
              <w:t xml:space="preserve">End-of-Life</w:t>
            </w:r>
          </w:p>
        </w:tc>
        <w:tc>
          <w:tcPr/>
          <w:p>
            <w:pPr>
              <w:pStyle w:val="Compact"/>
              <w:jc w:val="left"/>
            </w:pPr>
            <w:r>
              <w:t xml:space="preserve">-2.3628</w:t>
            </w:r>
          </w:p>
        </w:tc>
        <w:tc>
          <w:tcPr/>
          <w:p>
            <w:pPr>
              <w:pStyle w:val="Compact"/>
              <w:jc w:val="left"/>
            </w:pPr>
            <w:r>
              <w:t xml:space="preserve">Scope 3 (Downstream)</w:t>
            </w:r>
          </w:p>
        </w:tc>
      </w:tr>
      <w:tr>
        <w:tc>
          <w:tcPr/>
          <w:p>
            <w:pPr>
              <w:pStyle w:val="Compact"/>
              <w:jc w:val="left"/>
            </w:pPr>
            <w:r>
              <w:rPr>
                <w:bCs/>
                <w:b/>
              </w:rPr>
              <w:t xml:space="preserve">Total Product Carbon Footprint</w:t>
            </w:r>
          </w:p>
        </w:tc>
        <w:tc>
          <w:tcPr/>
          <w:p>
            <w:pPr>
              <w:pStyle w:val="Compact"/>
              <w:jc w:val="left"/>
            </w:pPr>
            <w:r>
              <w:rPr>
                <w:bCs/>
                <w:b/>
              </w:rPr>
              <w:t xml:space="preserve">33.11</w:t>
            </w:r>
          </w:p>
        </w:tc>
        <w:tc>
          <w:tcPr/>
          <w:p>
            <w:pPr>
              <w:pStyle w:val="Compact"/>
            </w:pPr>
          </w:p>
        </w:tc>
      </w:tr>
    </w:tbl>
    <w:p>
      <w:pPr>
        <w:pStyle w:val="BodyText"/>
      </w:pPr>
      <w:r>
        <w:rPr>
          <w:bCs/>
          <w:b/>
        </w:rPr>
        <w:t xml:space="preserve">The total Product Carbon Footprint for one functional unit of wuiuofqezs is approximately 33.11 kgCO2e.</w:t>
      </w:r>
    </w:p>
    <w:p>
      <w:pPr>
        <w:pStyle w:val="BodyText"/>
      </w:pPr>
      <w:r>
        <w:rPr>
          <w:bCs/>
          <w:b/>
          <w:iCs/>
          <w:i/>
        </w:rPr>
        <w:t xml:space="preserve">Scope 3 Coverage:</w:t>
      </w:r>
      <w:r>
        <w:rPr>
          <w:iCs/>
          <w:i/>
        </w:rPr>
        <w:t xml:space="preserve"> </w:t>
      </w:r>
      <w:r>
        <w:rPr>
          <w:iCs/>
          <w:i/>
        </w:rPr>
        <w:t xml:space="preserve">In this illustrative analysis, Scope 3 emissions (raw materials, transport, use phase, EoL) account for 6.657 + 0.5655 + 25.00 - 2.3628 = 29.86 kgCO2e. Given total emissions of 33.11 kgCO2e, Scope 3 accounts for approximately 90.18%. To achieve the 95% coverage target mandated for 2026, spwtwvqqyp would need to further investigate and quantify other potential Scope 3 categories, such as capital goods, business travel, employee commuting, waste generated in operations, investments, and franchises.</w:t>
      </w:r>
    </w:p>
    <w:p>
      <w:r>
        <w:pict>
          <v:rect style="width:0;height:1.5pt" o:hralign="center" o:hrstd="t" o:hr="t"/>
        </w:pict>
      </w:r>
    </w:p>
    <w:bookmarkEnd w:id="42"/>
    <w:bookmarkEnd w:id="43"/>
    <w:bookmarkStart w:id="48" w:name="review-and-reporting"/>
    <w:p>
      <w:pPr>
        <w:pStyle w:val="Heading2"/>
      </w:pPr>
      <w:r>
        <w:t xml:space="preserve">4. Review and Reporting</w:t>
      </w:r>
    </w:p>
    <w:bookmarkStart w:id="44" w:name="emission-hotspots"/>
    <w:p>
      <w:pPr>
        <w:pStyle w:val="Heading3"/>
      </w:pPr>
      <w:r>
        <w:t xml:space="preserve">4.1. Emission Hotspots</w:t>
      </w:r>
    </w:p>
    <w:p>
      <w:pPr>
        <w:pStyle w:val="FirstParagraph"/>
      </w:pPr>
      <w:r>
        <w:t xml:space="preserve">Based on the illustrative calculations, the primary emission hotspots for "wuiuofqezs" are:</w:t>
      </w:r>
    </w:p>
    <w:p>
      <w:pPr>
        <w:numPr>
          <w:ilvl w:val="0"/>
          <w:numId w:val="1012"/>
        </w:numPr>
        <w:pStyle w:val="Compact"/>
      </w:pPr>
      <w:r>
        <w:rPr>
          <w:bCs/>
          <w:b/>
        </w:rPr>
        <w:t xml:space="preserve">Use Phase (25.00 kgCO2e):</w:t>
      </w:r>
      <w:r>
        <w:t xml:space="preserve"> </w:t>
      </w:r>
      <w:r>
        <w:t xml:space="preserve">This is by far the largest contributor, accounting for approximately 75% of the total PCF. This highlights that consumer energy consumption during the product\'s lifespan is the most critical area for intervention.</w:t>
      </w:r>
    </w:p>
    <w:p>
      <w:pPr>
        <w:numPr>
          <w:ilvl w:val="0"/>
          <w:numId w:val="1012"/>
        </w:numPr>
        <w:pStyle w:val="Compact"/>
      </w:pPr>
      <w:r>
        <w:rPr>
          <w:bCs/>
          <w:b/>
        </w:rPr>
        <w:t xml:space="preserve">Raw Material Acquisition (6.657 kgCO2e):</w:t>
      </w:r>
      <w:r>
        <w:t xml:space="preserve"> </w:t>
      </w:r>
      <w:r>
        <w:t xml:space="preserve">Represents about 20% of the total footprint. Specific materials like steel, ABS plastic, and copper contribute significantly, underscoring the importance of sustainable sourcing and material efficiency.</w:t>
      </w:r>
    </w:p>
    <w:p>
      <w:pPr>
        <w:numPr>
          <w:ilvl w:val="0"/>
          <w:numId w:val="1012"/>
        </w:numPr>
        <w:pStyle w:val="Compact"/>
      </w:pPr>
      <w:r>
        <w:rPr>
          <w:bCs/>
          <w:b/>
        </w:rPr>
        <w:t xml:space="preserve">Manufacturing (3.25 kgCO2e):</w:t>
      </w:r>
      <w:r>
        <w:t xml:space="preserve"> </w:t>
      </w:r>
      <w:r>
        <w:t xml:space="preserve">Primarily driven by purchased electricity in China, contributing about 10% of the total. Increasing renewable energy usage beyond the illustrative 50% would significantly reduce this.</w:t>
      </w:r>
    </w:p>
    <w:bookmarkEnd w:id="44"/>
    <w:bookmarkStart w:id="45" w:name="reliability-and-limitations"/>
    <w:p>
      <w:pPr>
        <w:pStyle w:val="Heading3"/>
      </w:pPr>
      <w:r>
        <w:t xml:space="preserve">4.2. Reliability and Limitations</w:t>
      </w:r>
    </w:p>
    <w:p>
      <w:pPr>
        <w:pStyle w:val="FirstParagraph"/>
      </w:pPr>
      <w:r>
        <w:t xml:space="preserve">The reliability of this PCF analysis is directly dependent on the accuracy and completeness of the input data.</w:t>
      </w:r>
    </w:p>
    <w:p>
      <w:pPr>
        <w:numPr>
          <w:ilvl w:val="0"/>
          <w:numId w:val="1013"/>
        </w:numPr>
        <w:pStyle w:val="Compact"/>
      </w:pPr>
      <w:r>
        <w:rPr>
          <w:bCs/>
          <w:b/>
        </w:rPr>
        <w:t xml:space="preserve">Data Gaps:</w:t>
      </w:r>
      <w:r>
        <w:t xml:space="preserve"> </w:t>
      </w:r>
      <w:r>
        <w:t xml:space="preserve">As noted, several key parameters were provided as non-numeric placeholders. The use of illustrative data, while demonstrating the methodology, introduces a level of uncertainty. A real-world analysis would require primary data from suppliers (e.g., specific manufacturing energy consumption, exact transport distances and modes, detailed material compositions).</w:t>
      </w:r>
    </w:p>
    <w:p>
      <w:pPr>
        <w:numPr>
          <w:ilvl w:val="0"/>
          <w:numId w:val="1013"/>
        </w:numPr>
        <w:pStyle w:val="Compact"/>
      </w:pPr>
      <w:r>
        <w:rPr>
          <w:bCs/>
          <w:b/>
        </w:rPr>
        <w:t xml:space="preserve">Emission Factors:</w:t>
      </w:r>
      <w:r>
        <w:t xml:space="preserve"> </w:t>
      </w:r>
      <w:r>
        <w:t xml:space="preserve">Generic industry average emission factors were used for illustrative purposes. Product-specific and supplier-specific emission factors would enhance accuracy.</w:t>
      </w:r>
    </w:p>
    <w:p>
      <w:pPr>
        <w:numPr>
          <w:ilvl w:val="0"/>
          <w:numId w:val="1013"/>
        </w:numPr>
        <w:pStyle w:val="Compact"/>
      </w:pPr>
      <w:r>
        <w:rPr>
          <w:bCs/>
          <w:b/>
        </w:rPr>
        <w:t xml:space="preserve">System Boundary:</w:t>
      </w:r>
      <w:r>
        <w:t xml:space="preserve"> </w:t>
      </w:r>
      <w:r>
        <w:t xml:space="preserve">While expanded beyond \'factory_gate\' for the full lifecycle, the exact definition of \'Europe Focused\' for the supply chain could be further refined with geographical data.</w:t>
      </w:r>
    </w:p>
    <w:p>
      <w:pPr>
        <w:numPr>
          <w:ilvl w:val="0"/>
          <w:numId w:val="1013"/>
        </w:numPr>
        <w:pStyle w:val="Compact"/>
      </w:pPr>
      <w:r>
        <w:rPr>
          <w:bCs/>
          <w:b/>
        </w:rPr>
        <w:t xml:space="preserve">LSR Standard:</w:t>
      </w:r>
      <w:r>
        <w:t xml:space="preserve"> </w:t>
      </w:r>
      <w:r>
        <w:t xml:space="preserve">The application of the LSR Standard was conceptual in this report due to the absence of relevant biogenic or land-use change data. Full compliance would necessitate detailed data on agricultural inputs or forestry products.</w:t>
      </w:r>
    </w:p>
    <w:p>
      <w:pPr>
        <w:numPr>
          <w:ilvl w:val="0"/>
          <w:numId w:val="1013"/>
        </w:numPr>
        <w:pStyle w:val="Compact"/>
      </w:pPr>
      <w:r>
        <w:rPr>
          <w:bCs/>
          <w:b/>
        </w:rPr>
        <w:t xml:space="preserve">Scope 3 Coverage:</w:t>
      </w:r>
      <w:r>
        <w:t xml:space="preserve"> </w:t>
      </w:r>
      <w:r>
        <w:t xml:space="preserve">While targeting 95% coverage, the illustrative calculations fell slightly short (approx. 90.18%). A complete Scope 3 assessment would involve a more granular analysis of all relevant upstream and downstream categories as per GHG Protocol guidance.</w:t>
      </w:r>
    </w:p>
    <w:bookmarkEnd w:id="45"/>
    <w:bookmarkStart w:id="47" w:name="recommendations-for-emission-reduction"/>
    <w:p>
      <w:pPr>
        <w:pStyle w:val="Heading3"/>
      </w:pPr>
      <w:r>
        <w:t xml:space="preserve">4.3. Recommendations for Emission Reduction</w:t>
      </w:r>
    </w:p>
    <w:p>
      <w:pPr>
        <w:pStyle w:val="FirstParagraph"/>
      </w:pPr>
      <w:r>
        <w:t xml:space="preserve">To reduce the carbon footprint of "wuiuofqezs," spwtwvqqyp should focus on the following areas:</w:t>
      </w:r>
    </w:p>
    <w:p>
      <w:pPr>
        <w:numPr>
          <w:ilvl w:val="0"/>
          <w:numId w:val="1014"/>
        </w:numPr>
        <w:pStyle w:val="Compact"/>
      </w:pPr>
      <w:r>
        <w:rPr>
          <w:bCs/>
          <w:b/>
        </w:rPr>
        <w:t xml:space="preserve">Optimize Use Phase Efficiency:</w:t>
      </w:r>
    </w:p>
    <w:p>
      <w:pPr>
        <w:numPr>
          <w:ilvl w:val="1"/>
          <w:numId w:val="1015"/>
        </w:numPr>
        <w:pStyle w:val="Compact"/>
      </w:pPr>
      <w:r>
        <w:t xml:space="preserve">Redesign the product for lower energy consumption during its use.</w:t>
      </w:r>
    </w:p>
    <w:p>
      <w:pPr>
        <w:numPr>
          <w:ilvl w:val="1"/>
          <w:numId w:val="1015"/>
        </w:numPr>
        <w:pStyle w:val="Compact"/>
      </w:pPr>
      <w:r>
        <w:t xml:space="preserve">Develop and promote energy-efficient operational modes for end-users.</w:t>
      </w:r>
    </w:p>
    <w:p>
      <w:pPr>
        <w:numPr>
          <w:ilvl w:val="1"/>
          <w:numId w:val="1015"/>
        </w:numPr>
        <w:pStyle w:val="Compact"/>
      </w:pPr>
      <w:r>
        <w:t xml:space="preserve">Explore software updates or smart features to minimize idle power.</w:t>
      </w:r>
    </w:p>
    <w:p>
      <w:pPr>
        <w:numPr>
          <w:ilvl w:val="0"/>
          <w:numId w:val="1014"/>
        </w:numPr>
        <w:pStyle w:val="Compact"/>
      </w:pPr>
      <w:r>
        <w:rPr>
          <w:bCs/>
          <w:b/>
        </w:rPr>
        <w:t xml:space="preserve">Sustainable Material Sourcing and Design:</w:t>
      </w:r>
    </w:p>
    <w:p>
      <w:pPr>
        <w:numPr>
          <w:ilvl w:val="1"/>
          <w:numId w:val="1016"/>
        </w:numPr>
        <w:pStyle w:val="Compact"/>
      </w:pPr>
      <w:r>
        <w:t xml:space="preserve">Investigate lower-carbon alternatives for steel, ABS plastic, and copper.</w:t>
      </w:r>
    </w:p>
    <w:p>
      <w:pPr>
        <w:numPr>
          <w:ilvl w:val="1"/>
          <w:numId w:val="1016"/>
        </w:numPr>
        <w:pStyle w:val="Compact"/>
      </w:pPr>
      <w:r>
        <w:t xml:space="preserve">Increase the proportion of recycled content in materials, leveraging existing circular programs.</w:t>
      </w:r>
    </w:p>
    <w:p>
      <w:pPr>
        <w:numPr>
          <w:ilvl w:val="1"/>
          <w:numId w:val="1016"/>
        </w:numPr>
        <w:pStyle w:val="Compact"/>
      </w:pPr>
      <w:r>
        <w:t xml:space="preserve">Optimize product design to reduce overall material consumption.</w:t>
      </w:r>
    </w:p>
    <w:p>
      <w:pPr>
        <w:numPr>
          <w:ilvl w:val="0"/>
          <w:numId w:val="1014"/>
        </w:numPr>
        <w:pStyle w:val="Compact"/>
      </w:pPr>
      <w:r>
        <w:rPr>
          <w:bCs/>
          <w:b/>
        </w:rPr>
        <w:t xml:space="preserve">Enhance Manufacturing Efficiency and Renewable Energy Adoption:</w:t>
      </w:r>
    </w:p>
    <w:p>
      <w:pPr>
        <w:numPr>
          <w:ilvl w:val="1"/>
          <w:numId w:val="1017"/>
        </w:numPr>
        <w:pStyle w:val="Compact"/>
      </w:pPr>
      <w:r>
        <w:t xml:space="preserve">Increase the percentage of renewable energy procured for manufacturing operations in China.</w:t>
      </w:r>
    </w:p>
    <w:p>
      <w:pPr>
        <w:numPr>
          <w:ilvl w:val="1"/>
          <w:numId w:val="1017"/>
        </w:numPr>
        <w:pStyle w:val="Compact"/>
      </w:pPr>
      <w:r>
        <w:t xml:space="preserve">Implement energy efficiency measures within the factory to reduce overall energy demand.</w:t>
      </w:r>
    </w:p>
    <w:p>
      <w:pPr>
        <w:numPr>
          <w:ilvl w:val="0"/>
          <w:numId w:val="1014"/>
        </w:numPr>
        <w:pStyle w:val="Compact"/>
      </w:pPr>
      <w:r>
        <w:rPr>
          <w:bCs/>
          <w:b/>
        </w:rPr>
        <w:t xml:space="preserve">Strengthen Circular Economy Initiatives:</w:t>
      </w:r>
    </w:p>
    <w:p>
      <w:pPr>
        <w:numPr>
          <w:ilvl w:val="1"/>
          <w:numId w:val="1018"/>
        </w:numPr>
        <w:pStyle w:val="Compact"/>
      </w:pPr>
      <w:r>
        <w:t xml:space="preserve">Expand and promote take-back programs to maximize material recovery and recycling rates.</w:t>
      </w:r>
    </w:p>
    <w:p>
      <w:pPr>
        <w:numPr>
          <w:ilvl w:val="1"/>
          <w:numId w:val="1018"/>
        </w:numPr>
        <w:pStyle w:val="Compact"/>
      </w:pPr>
      <w:r>
        <w:t xml:space="preserve">Design for disassembly and repairability to extend product lifespan and facilitate end-of-life processing.</w:t>
      </w:r>
    </w:p>
    <w:p>
      <w:pPr>
        <w:numPr>
          <w:ilvl w:val="0"/>
          <w:numId w:val="1014"/>
        </w:numPr>
        <w:pStyle w:val="Compact"/>
      </w:pPr>
      <w:r>
        <w:rPr>
          <w:bCs/>
          <w:b/>
        </w:rPr>
        <w:t xml:space="preserve">Refine Data Collection:</w:t>
      </w:r>
    </w:p>
    <w:p>
      <w:pPr>
        <w:numPr>
          <w:ilvl w:val="1"/>
          <w:numId w:val="1019"/>
        </w:numPr>
        <w:pStyle w:val="Compact"/>
      </w:pPr>
      <w:r>
        <w:t xml:space="preserve">Establish robust primary data collection systems with suppliers for more accurate upstream emission factors.</w:t>
      </w:r>
    </w:p>
    <w:p>
      <w:pPr>
        <w:numPr>
          <w:ilvl w:val="1"/>
          <w:numId w:val="1019"/>
        </w:numPr>
        <w:pStyle w:val="Compact"/>
      </w:pPr>
      <w:r>
        <w:t xml:space="preserve">Gather detailed data on transportation logistics, including specific modes, routes, and fill rates.</w:t>
      </w:r>
    </w:p>
    <w:p>
      <w:r>
        <w:pict>
          <v:rect style="width:0;height:1.5pt" o:hralign="center" o:hrstd="t" o:hr="t"/>
        </w:pict>
      </w:r>
    </w:p>
    <w:p>
      <w:pPr>
        <w:pStyle w:val="FirstParagraph"/>
      </w:pPr>
      <w:r>
        <w:t xml:space="preserve">Confidential - Internal Use Only | Page</w:t>
      </w:r>
      <w:r>
        <w:t xml:space="preserve"> </w:t>
      </w:r>
      <w:bookmarkStart w:id="46" w:name="page-number"/>
      <w:bookmarkEnd w:id="46"/>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wuiuofqezs</dc:title>
  <dc:creator/>
  <dc:description>High-detail Product Carbon Footprint (PCF) analysis report for wuiuofqezs by kseizwsrhz, Senior Sustainability Consultant at spwtwvqqyp, adhering to GHG Protocol and 2026 LSR Update.</dc:description>
  <dc:language>en</dc:language>
  <cp:keywords/>
  <dcterms:created xsi:type="dcterms:W3CDTF">2026-07-15T10:28:57Z</dcterms:created>
  <dcterms:modified xsi:type="dcterms:W3CDTF">2026-07-15T10:28:57Z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