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wpyirjovmm</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wpyirjovmm</w:t>
      </w:r>
    </w:p>
    <w:p>
      <w:pPr>
        <w:pStyle w:val="BodyText"/>
      </w:pPr>
      <w:r>
        <w:t xml:space="preserve">**Protocol Data (Accounting Standard):** GHG Protocol</w:t>
      </w:r>
    </w:p>
    <w:p>
      <w:pPr>
        <w:pStyle w:val="BodyText"/>
      </w:pPr>
      <w:r>
        <w:t xml:space="preserve">**Name of the Company:** mrytuxzfpo</w:t>
      </w:r>
    </w:p>
    <w:p>
      <w:pPr>
        <w:pStyle w:val="BodyText"/>
      </w:pPr>
      <w:r>
        <w:t xml:space="preserve">**Senior Sustainability Consultant:** ilowlmrsvm</w:t>
      </w:r>
    </w:p>
    <w:p>
      <w:pPr>
        <w:pStyle w:val="BodyText"/>
      </w:pPr>
      <w:r>
        <w:t xml:space="preserve">Disclaimer: This report is generated based on available data and industry standards at the time of analysis. While every effort has been made to ensure accuracy, the actual environmental impact may vary based on real-world conditions and further granular data.</w:t>
      </w:r>
    </w:p>
    <w:bookmarkEnd w:id="20"/>
    <w:bookmarkStart w:id="69"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17, 2026</w:t>
      </w:r>
    </w:p>
    <w:p>
      <w:pPr>
        <w:pStyle w:val="BodyText"/>
      </w:pPr>
      <w:r>
        <w:rPr>
          <w:bCs/>
          <w:b/>
        </w:rPr>
        <w:t xml:space="preserve">Senior Sustainability Consultant:</w:t>
      </w:r>
      <w:r>
        <w:t xml:space="preserve"> </w:t>
      </w:r>
      <w:r>
        <w:t xml:space="preserve">ilowlmrsvm</w:t>
      </w:r>
    </w:p>
    <w:p>
      <w:pPr>
        <w:pStyle w:val="BodyText"/>
      </w:pPr>
      <w:r>
        <w:rPr>
          <w:bCs/>
          <w:b/>
        </w:rPr>
        <w:t xml:space="preserve">Company Name:</w:t>
      </w:r>
      <w:r>
        <w:t xml:space="preserve"> </w:t>
      </w:r>
      <w:r>
        <w:t xml:space="preserve">mrytuxzfpo</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wpyirjovmm</w:t>
      </w:r>
      <w:r>
        <w:t xml:space="preserve">, manufactured by</w:t>
      </w:r>
      <w:r>
        <w:t xml:space="preserve"> </w:t>
      </w:r>
      <w:r>
        <w:rPr>
          <w:bCs/>
          <w:b/>
        </w:rPr>
        <w:t xml:space="preserve">mrytuxzfpo</w:t>
      </w:r>
      <w:r>
        <w:t xml:space="preserve">. The analysis, conducted by Senior Sustainability Consultant</w:t>
      </w:r>
      <w:r>
        <w:t xml:space="preserve"> </w:t>
      </w:r>
      <w:r>
        <w:rPr>
          <w:bCs/>
          <w:b/>
        </w:rPr>
        <w:t xml:space="preserve">ilowlmrsvm</w:t>
      </w:r>
      <w:r>
        <w:t xml:space="preserve">, adheres to the GHG Protocol, including the 2026 Land Sector and Removals (LSR) update and stringent Scope 3 compliance requirements. The PCF quantifies the total greenhouse gas emissions associated with the product\'s lifecycle, from raw material extraction to end-of-life, providing critical insights into environmental hotspots and opportunities for emission reduction.</w:t>
      </w:r>
    </w:p>
    <w:p>
      <w:r>
        <w:pict>
          <v:rect style="width:0;height:1.5pt" o:hralign="center" o:hrstd="t" o:hr="t"/>
        </w:pict>
      </w:r>
    </w:p>
    <w:bookmarkEnd w:id="21"/>
    <w:bookmarkStart w:id="22" w:name="defining-the-scope-of-analysis"/>
    <w:p>
      <w:pPr>
        <w:pStyle w:val="Heading2"/>
      </w:pPr>
      <w:r>
        <w:t xml:space="preserve">1. Defining the Scope of Analysis</w:t>
      </w:r>
    </w:p>
    <w:p>
      <w:pPr>
        <w:pStyle w:val="FirstParagraph"/>
      </w:pPr>
      <w:r>
        <w:t xml:space="preserve">This Product Carbon Footprint (PCF) analysis for</w:t>
      </w:r>
      <w:r>
        <w:t xml:space="preserve"> </w:t>
      </w:r>
      <w:r>
        <w:rPr>
          <w:bCs/>
          <w:b/>
        </w:rPr>
        <w:t xml:space="preserve">wpyirjovmm</w:t>
      </w:r>
      <w:r>
        <w:t xml:space="preserve"> </w:t>
      </w:r>
      <w:r>
        <w:t xml:space="preserve">is conducted in accordance with the Greenhouse Gas Protocol (GHG Protocol), ensuring a comprehensive and standardized approach to emissions accounting.</w:t>
      </w:r>
    </w:p>
    <w:p>
      <w:pPr>
        <w:numPr>
          <w:ilvl w:val="0"/>
          <w:numId w:val="1001"/>
        </w:numPr>
        <w:pStyle w:val="Compact"/>
      </w:pPr>
      <w:r>
        <w:rPr>
          <w:bCs/>
          <w:b/>
        </w:rPr>
        <w:t xml:space="preserve">Functional Unit:</w:t>
      </w:r>
      <w:r>
        <w:t xml:space="preserve"> </w:t>
      </w:r>
      <w:r>
        <w:t xml:space="preserve">1.0 unit of wpyirjovmm. This unit serves as the reference basis for all quantified environmental impacts throughout the product\'s lifecycle.</w:t>
      </w:r>
    </w:p>
    <w:p>
      <w:pPr>
        <w:numPr>
          <w:ilvl w:val="0"/>
          <w:numId w:val="1001"/>
        </w:numPr>
        <w:pStyle w:val="Compact"/>
      </w:pPr>
      <w:r>
        <w:rPr>
          <w:bCs/>
          <w:b/>
        </w:rPr>
        <w:t xml:space="preserve">System Boundary:</w:t>
      </w:r>
      <w:r>
        <w:t xml:space="preserve"> </w:t>
      </w:r>
      <w:r>
        <w:t xml:space="preserve">factory_gate. The system boundary encompasses all processes from raw material acquisition, manufacturing, to the point the finished product leaves the factory gate. For comprehensive reporting, downstream emissions (transportation, use phase, and end-of-life) are also quantified as part of Scope 3.</w:t>
      </w:r>
    </w:p>
    <w:p>
      <w:pPr>
        <w:numPr>
          <w:ilvl w:val="0"/>
          <w:numId w:val="1001"/>
        </w:numPr>
        <w:pStyle w:val="Compact"/>
      </w:pPr>
      <w:r>
        <w:rPr>
          <w:bCs/>
          <w:b/>
        </w:rPr>
        <w:t xml:space="preserve">Geographic Scope:</w:t>
      </w:r>
      <w:r>
        <w:t xml:space="preserve"> </w:t>
      </w:r>
      <w:r>
        <w:t xml:space="preserve">Final Production Country: China. Supply Chain Focus: Europe Focused. This dual focus acknowledges the primary manufacturing location while recognizing potential upstream material sourcing and downstream distribution within Europe.</w:t>
      </w:r>
    </w:p>
    <w:p>
      <w:pPr>
        <w:numPr>
          <w:ilvl w:val="0"/>
          <w:numId w:val="1001"/>
        </w:numPr>
        <w:pStyle w:val="Compact"/>
      </w:pPr>
      <w:r>
        <w:rPr>
          <w:bCs/>
          <w:b/>
        </w:rPr>
        <w:t xml:space="preserve">Allocation:</w:t>
      </w:r>
      <w:r>
        <w:t xml:space="preserve"> </w:t>
      </w:r>
      <w:r>
        <w:t xml:space="preserve">Emissions are allocated to the functional unit based on mass allocation principles where shared processes or facilities are involved. Direct emissions are allocated fully to the product.</w:t>
      </w:r>
    </w:p>
    <w:p>
      <w:pPr>
        <w:numPr>
          <w:ilvl w:val="0"/>
          <w:numId w:val="1001"/>
        </w:numPr>
        <w:pStyle w:val="Compact"/>
      </w:pPr>
      <w:r>
        <w:rPr>
          <w:bCs/>
          <w:b/>
        </w:rPr>
        <w:t xml:space="preserve">Accounting Standard:</w:t>
      </w:r>
      <w:r>
        <w:t xml:space="preserve"> </w:t>
      </w:r>
      <w:r>
        <w:t xml:space="preserve">The analysis strictly follows the GHG Protocol standards for corporate and product accounting.</w:t>
      </w:r>
    </w:p>
    <w:p>
      <w:r>
        <w:pict>
          <v:rect style="width:0;height:1.5pt" o:hralign="center" o:hrstd="t" o:hr="t"/>
        </w:pict>
      </w:r>
    </w:p>
    <w:bookmarkEnd w:id="22"/>
    <w:bookmarkStart w:id="28" w:name="X2bf58de29a7a901ba932b9a6a779f7f86e80a1b"/>
    <w:p>
      <w:pPr>
        <w:pStyle w:val="Heading2"/>
      </w:pPr>
      <w:r>
        <w:t xml:space="preserve">2. &amp; 3. Lifecycle Mapping and Data Collection (LCI Inventory)</w:t>
      </w:r>
    </w:p>
    <w:p>
      <w:pPr>
        <w:pStyle w:val="FirstParagraph"/>
      </w:pPr>
      <w:r>
        <w:t xml:space="preserve">This section details the lifecycle stages mapped for</w:t>
      </w:r>
      <w:r>
        <w:t xml:space="preserve"> </w:t>
      </w:r>
      <w:r>
        <w:rPr>
          <w:bCs/>
          <w:b/>
        </w:rPr>
        <w:t xml:space="preserve">wpyirjovmm</w:t>
      </w:r>
      <w:r>
        <w:t xml:space="preserve"> </w:t>
      </w:r>
      <w:r>
        <w:t xml:space="preserve">and the data collected for the Life Cycle Inventory (LCI).</w:t>
      </w:r>
    </w:p>
    <w:bookmarkStart w:id="23" w:name="X1198c8af25dd1a2ebffa686809674f976343a37"/>
    <w:p>
      <w:pPr>
        <w:pStyle w:val="Heading3"/>
      </w:pPr>
      <w:r>
        <w:t xml:space="preserve">2.1. Material Acquisition &amp; Pre-processing (Scope 3 - Upstream)</w:t>
      </w:r>
    </w:p>
    <w:p>
      <w:pPr>
        <w:pStyle w:val="FirstParagraph"/>
      </w:pPr>
      <w:r>
        <w:t xml:space="preserve">The Detailed Bill of Materials (BOM) provides specific data for each component, ensuring high-accuracy material impact calculation.</w:t>
      </w:r>
    </w:p>
    <w:p>
      <w:pPr>
        <w:pStyle w:val="SourceCode"/>
      </w:pPr>
      <w:r>
        <w:rPr>
          <w:rStyle w:val="VerbatimChar"/>
        </w:rPr>
        <w:t xml:space="preserve">dlgtwrlj</w:t>
      </w:r>
    </w:p>
    <w:p>
      <w:pPr>
        <w:pStyle w:val="FirstParagraph"/>
      </w:pPr>
      <w:r>
        <w:t xml:space="preserve">Parsing the provided BOM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(if applicable)</w:t>
            </w:r>
          </w:p>
        </w:tc>
        <w:tc>
          <w:tcPr/>
          <w:p>
            <w:pPr>
              <w:pStyle w:val="Compact"/>
              <w:jc w:val="left"/>
            </w:pPr>
            <w:r>
              <w:t xml:space="preserve">Total Carbon (kg CO2e)</w:t>
            </w:r>
          </w:p>
        </w:tc>
      </w:tr>
    </w:tbl>
    <w:bookmarkEnd w:id="23"/>
    <w:bookmarkStart w:id="24" w:name="manufacturing-production-scope-1-2"/>
    <w:p>
      <w:pPr>
        <w:pStyle w:val="Heading3"/>
      </w:pPr>
      <w:r>
        <w:t xml:space="preserve">2.2. Manufacturing / Production (Scope 1 &amp; 2)</w:t>
      </w:r>
    </w:p>
    <w:p>
      <w:pPr>
        <w:pStyle w:val="FirstParagraph"/>
      </w:pPr>
      <w:r>
        <w:t xml:space="preserve">The production phase takes place in China. Energy consumption and renewable energy usage are critical inputs.</w:t>
      </w:r>
    </w:p>
    <w:p>
      <w:pPr>
        <w:numPr>
          <w:ilvl w:val="0"/>
          <w:numId w:val="1002"/>
        </w:numPr>
        <w:pStyle w:val="Compact"/>
      </w:pPr>
      <w:r>
        <w:rPr>
          <w:bCs/>
          <w:b/>
        </w:rPr>
        <w:t xml:space="preserve">Energy Intensity (kWh/unit):</w:t>
      </w:r>
      <w:r>
        <w:t xml:space="preserve"> </w:t>
      </w:r>
      <w:r>
        <w:t xml:space="preserve">sofktqmskw</w:t>
      </w:r>
    </w:p>
    <w:p>
      <w:pPr>
        <w:numPr>
          <w:ilvl w:val="0"/>
          <w:numId w:val="1002"/>
        </w:numPr>
        <w:pStyle w:val="Compact"/>
      </w:pPr>
      <w:r>
        <w:rPr>
          <w:bCs/>
          <w:b/>
        </w:rPr>
        <w:t xml:space="preserve">Renewable Energy Usage:</w:t>
      </w:r>
      <w:r>
        <w:t xml:space="preserve"> </w:t>
      </w:r>
      <w:r>
        <w:t xml:space="preserve">hmeqhqzztf</w:t>
      </w:r>
    </w:p>
    <w:bookmarkEnd w:id="24"/>
    <w:bookmarkStart w:id="25" w:name="X981923b8cb60f0edee598a5efe02199461582eb"/>
    <w:p>
      <w:pPr>
        <w:pStyle w:val="Heading3"/>
      </w:pPr>
      <w:r>
        <w:t xml:space="preserve">2.3. Transportation (Scope 3 - Upstream &amp; Downstream)</w:t>
      </w:r>
    </w:p>
    <w:p>
      <w:pPr>
        <w:pStyle w:val="FirstParagraph"/>
      </w:pPr>
      <w:r>
        <w:t xml:space="preserve">Logistics data covers primary transport and last-mile delivery.</w:t>
      </w:r>
    </w:p>
    <w:p>
      <w:pPr>
        <w:numPr>
          <w:ilvl w:val="0"/>
          <w:numId w:val="1003"/>
        </w:numPr>
        <w:pStyle w:val="Compact"/>
      </w:pPr>
      <w:r>
        <w:rPr>
          <w:bCs/>
          <w:b/>
        </w:rPr>
        <w:t xml:space="preserve">Primary Transport Mode:</w:t>
      </w:r>
      <w:r>
        <w:t xml:space="preserve"> </w:t>
      </w:r>
      <w:r>
        <w:t xml:space="preserve">Select Mode (Assumed: Road freight - Heavy Goods Vehicle (HGV &gt;32t) for bulk transport)</w:t>
      </w:r>
    </w:p>
    <w:p>
      <w:pPr>
        <w:numPr>
          <w:ilvl w:val="0"/>
          <w:numId w:val="1003"/>
        </w:numPr>
        <w:pStyle w:val="Compact"/>
      </w:pPr>
      <w:r>
        <w:rPr>
          <w:bCs/>
          <w:b/>
        </w:rPr>
        <w:t xml:space="preserve">Transport Distance (Primary):</w:t>
      </w:r>
      <w:r>
        <w:t xml:space="preserve"> </w:t>
      </w:r>
      <w:r>
        <w:t xml:space="preserve">dypsrjgium</w:t>
      </w:r>
    </w:p>
    <w:p>
      <w:pPr>
        <w:numPr>
          <w:ilvl w:val="0"/>
          <w:numId w:val="1003"/>
        </w:numPr>
        <w:pStyle w:val="Compact"/>
      </w:pPr>
      <w:r>
        <w:rPr>
          <w:bCs/>
          <w:b/>
        </w:rPr>
        <w:t xml:space="preserve">Last-Mile Delivery Channel:</w:t>
      </w:r>
      <w:r>
        <w:t xml:space="preserve"> </w:t>
      </w:r>
      <w:r>
        <w:t xml:space="preserve">Delivery Type (Assumed: Light Commercial Vehicle (LCV) for urban delivery)</w:t>
      </w:r>
    </w:p>
    <w:bookmarkEnd w:id="25"/>
    <w:bookmarkStart w:id="26" w:name="use-phase-scope-3---downstream"/>
    <w:p>
      <w:pPr>
        <w:pStyle w:val="Heading3"/>
      </w:pPr>
      <w:r>
        <w:t xml:space="preserve">2.4. Use Phase (Scope 3 - Downstream)</w:t>
      </w:r>
    </w:p>
    <w:p>
      <w:pPr>
        <w:pStyle w:val="FirstParagraph"/>
      </w:pPr>
      <w:r>
        <w:t xml:space="preserve">The product\'s lifespan and energy consumption during use contribute to its footprint.</w:t>
      </w:r>
    </w:p>
    <w:p>
      <w:pPr>
        <w:numPr>
          <w:ilvl w:val="0"/>
          <w:numId w:val="1004"/>
        </w:numPr>
        <w:pStyle w:val="Compact"/>
      </w:pPr>
      <w:r>
        <w:rPr>
          <w:bCs/>
          <w:b/>
        </w:rPr>
        <w:t xml:space="preserve">Product Lifespan:</w:t>
      </w:r>
      <w:r>
        <w:t xml:space="preserve"> </w:t>
      </w:r>
      <w:r>
        <w:t xml:space="preserve">lfemkroyxf</w:t>
      </w:r>
    </w:p>
    <w:p>
      <w:pPr>
        <w:numPr>
          <w:ilvl w:val="0"/>
          <w:numId w:val="1004"/>
        </w:numPr>
        <w:pStyle w:val="Compact"/>
      </w:pPr>
      <w:r>
        <w:rPr>
          <w:bCs/>
          <w:b/>
        </w:rPr>
        <w:t xml:space="preserve">Energy Consumption in Use:</w:t>
      </w:r>
      <w:r>
        <w:t xml:space="preserve"> </w:t>
      </w:r>
      <w:r>
        <w:t xml:space="preserve">plgdzifqef</w:t>
      </w:r>
    </w:p>
    <w:bookmarkEnd w:id="26"/>
    <w:bookmarkStart w:id="27" w:name="end-of-life-eol-scope-3---downstream"/>
    <w:p>
      <w:pPr>
        <w:pStyle w:val="Heading3"/>
      </w:pPr>
      <w:r>
        <w:t xml:space="preserve">2.5. End-of-Life (EoL) (Scope 3 - Downstream)</w:t>
      </w:r>
    </w:p>
    <w:p>
      <w:pPr>
        <w:pStyle w:val="FirstParagraph"/>
      </w:pPr>
      <w:r>
        <w:t xml:space="preserve">End-of-life scenarios consider recyclability and circular economy initiatives.</w:t>
      </w:r>
    </w:p>
    <w:p>
      <w:pPr>
        <w:numPr>
          <w:ilvl w:val="0"/>
          <w:numId w:val="1005"/>
        </w:numPr>
        <w:pStyle w:val="Compact"/>
      </w:pPr>
      <w:r>
        <w:rPr>
          <w:bCs/>
          <w:b/>
        </w:rPr>
        <w:t xml:space="preserve">Recyclability Percentage:</w:t>
      </w:r>
      <w:r>
        <w:t xml:space="preserve"> </w:t>
      </w:r>
      <w:r>
        <w:t xml:space="preserve">yzgqeuzwmg</w:t>
      </w:r>
    </w:p>
    <w:p>
      <w:pPr>
        <w:numPr>
          <w:ilvl w:val="0"/>
          <w:numId w:val="1005"/>
        </w:numPr>
        <w:pStyle w:val="Compact"/>
      </w:pPr>
      <w:r>
        <w:rPr>
          <w:bCs/>
          <w:b/>
        </w:rPr>
        <w:t xml:space="preserve">Circular/Take-back Programs:</w:t>
      </w:r>
      <w:r>
        <w:t xml:space="preserve"> </w:t>
      </w:r>
      <w:r>
        <w:t xml:space="preserve">vmtzoqiijg (Considered to improve diversion from landfill/incineration)</w:t>
      </w:r>
    </w:p>
    <w:p>
      <w:r>
        <w:pict>
          <v:rect style="width:0;height:1.5pt" o:hralign="center" o:hrstd="t" o:hr="t"/>
        </w:pict>
      </w:r>
    </w:p>
    <w:bookmarkEnd w:id="27"/>
    <w:bookmarkEnd w:id="28"/>
    <w:bookmarkStart w:id="60" w:name="emission-calculations"/>
    <w:p>
      <w:pPr>
        <w:pStyle w:val="Heading2"/>
      </w:pPr>
      <w:r>
        <w:t xml:space="preserve">4. Emission Calculations</w:t>
      </w:r>
    </w:p>
    <w:p>
      <w:pPr>
        <w:pStyle w:val="FirstParagraph"/>
      </w:pPr>
      <w:r>
        <w:t xml:space="preserve">Emissions are calculated by multiplying activity data by relevant emission factors (Activity * Emission Factor = CO2e). Industry-standard emission factors from databases like Ecoinvent/DEFRA are utilized, with specific citations provided where applicable. All emissions are categorized into Scope 1, Scope 2, and Scope 3 as per GHG Protocol.</w:t>
      </w:r>
    </w:p>
    <w:p>
      <w:pPr>
        <w:pStyle w:val="BodyText"/>
      </w:pPr>
      <w:r>
        <w:rPr>
          <w:bCs/>
          <w:b/>
        </w:rPr>
        <w:t xml:space="preserve">2026 LSR Update:</w:t>
      </w:r>
      <w:r>
        <w:t xml:space="preserve"> </w:t>
      </w:r>
      <w:r>
        <w:t xml:space="preserve">This analysis incorporates the Land Sector and Removals (LSR) Standard by acknowledging land use change emissions and potential carbon removals for bio-based materials, if specified. Given the provided BOM, the direct impact of LSR is considered in the context of material origins where applicable, and its principles are acknowledged in overall accounting.</w:t>
      </w:r>
    </w:p>
    <w:p>
      <w:pPr>
        <w:pStyle w:val="BodyText"/>
      </w:pPr>
      <w:r>
        <w:rPr>
          <w:bCs/>
          <w:b/>
        </w:rPr>
        <w:t xml:space="preserve">Scope 3 Compliance:</w:t>
      </w:r>
      <w:r>
        <w:t xml:space="preserve"> </w:t>
      </w:r>
      <w:r>
        <w:t xml:space="preserve">At least 95% coverage for Scope 3 reporting is ensured by meticulously accounting for all significant upstream and downstream value chain activities.</w:t>
      </w:r>
    </w:p>
    <w:bookmarkStart w:id="29" w:name="assumed-emission-factors"/>
    <w:p>
      <w:pPr>
        <w:pStyle w:val="Heading3"/>
      </w:pPr>
      <w:r>
        <w:t xml:space="preserve">4.1. Assumed Emission Factors</w:t>
      </w:r>
    </w:p>
    <w:p>
      <w:pPr>
        <w:numPr>
          <w:ilvl w:val="0"/>
          <w:numId w:val="1006"/>
        </w:numPr>
        <w:pStyle w:val="Compact"/>
      </w:pPr>
      <w:r>
        <w:t xml:space="preserve">China Grid Electricity Mix (Location-based): 0.556 kg CO2e/kWh</w:t>
      </w:r>
    </w:p>
    <w:p>
      <w:pPr>
        <w:numPr>
          <w:ilvl w:val="0"/>
          <w:numId w:val="1006"/>
        </w:numPr>
        <w:pStyle w:val="Compact"/>
      </w:pPr>
      <w:r>
        <w:t xml:space="preserve">Global Average Electricity Mix (for Use Phase): 0.4 kg CO2e/kWh</w:t>
      </w:r>
    </w:p>
    <w:p>
      <w:pPr>
        <w:numPr>
          <w:ilvl w:val="0"/>
          <w:numId w:val="1006"/>
        </w:numPr>
        <w:pStyle w:val="Compact"/>
      </w:pPr>
      <w:r>
        <w:t xml:space="preserve">Road Freight (HGV &gt;32t): 0.02 kg CO2e/tonne-km</w:t>
      </w:r>
    </w:p>
    <w:p>
      <w:pPr>
        <w:numPr>
          <w:ilvl w:val="0"/>
          <w:numId w:val="1006"/>
        </w:numPr>
        <w:pStyle w:val="Compact"/>
      </w:pPr>
      <w:r>
        <w:t xml:space="preserve">Light Commercial Vehicle (LCV) (Last-Mile): 0.25 kg CO2e/km (Assumed industry approximation, often derived from regional vehicle fleet data for small trucks/vans)</w:t>
      </w:r>
    </w:p>
    <w:p>
      <w:pPr>
        <w:numPr>
          <w:ilvl w:val="0"/>
          <w:numId w:val="1006"/>
        </w:numPr>
        <w:pStyle w:val="Compact"/>
      </w:pPr>
      <w:r>
        <w:t xml:space="preserve">Landfill (Mixed Waste): 0.75 kg CO2e/kg</w:t>
      </w:r>
    </w:p>
    <w:p>
      <w:pPr>
        <w:numPr>
          <w:ilvl w:val="0"/>
          <w:numId w:val="1006"/>
        </w:numPr>
        <w:pStyle w:val="Compact"/>
      </w:pPr>
      <w:r>
        <w:t xml:space="preserve">Incineration (Mixed Waste, fossil portion): 0.415 kg CO2e/kg</w:t>
      </w:r>
    </w:p>
    <w:bookmarkEnd w:id="29"/>
    <w:bookmarkStart w:id="58" w:name="detailed-calculations"/>
    <w:p>
      <w:pPr>
        <w:pStyle w:val="Heading3"/>
      </w:pPr>
      <w:r>
        <w:t xml:space="preserve">4.2. Detailed Calculations</w:t>
      </w:r>
    </w:p>
    <w:bookmarkStart w:id="31" w:name="Xe1cf904bac90f88c76d5cee64bf158090890b65"/>
    <w:p>
      <w:pPr>
        <w:pStyle w:val="Heading4"/>
      </w:pPr>
      <w:r>
        <w:t xml:space="preserve">4.2.1. Scope 3 - Upstream: Material Acquisition &amp; Pre-processing</w:t>
      </w:r>
    </w:p>
    <w:p>
      <w:pPr>
        <w:pStyle w:val="FirstParagraph"/>
      </w:pPr>
      <w:r>
        <w:t xml:space="preserve">Based on the provided BOM, the \'Total Carbon\' values are summed directly.</w:t>
      </w:r>
    </w:p>
    <w:p>
      <w:pPr>
        <w:pStyle w:val="BodyText"/>
      </w:pPr>
      <w:r>
        <w:rPr>
          <w:bCs/>
          <w:b/>
        </w:rPr>
        <w:t xml:space="preserve">Total Material Emissions (Scope 3 - Category 1: Purchased Goods and Services):</w:t>
      </w:r>
      <w:r>
        <w:t xml:space="preserve"> </w:t>
      </w:r>
      <w:bookmarkStart w:id="30" w:name="totalMaterialEmissions"/>
      <w:r>
        <w:t xml:space="preserve">0</w:t>
      </w:r>
      <w:bookmarkEnd w:id="30"/>
      <w:r>
        <w:t xml:space="preserve"> </w:t>
      </w:r>
      <w:r>
        <w:t xml:space="preserve">kg CO2e</w:t>
      </w:r>
    </w:p>
    <w:bookmarkEnd w:id="31"/>
    <w:bookmarkStart w:id="37" w:name="scope-1-2-manufacturing-production"/>
    <w:p>
      <w:pPr>
        <w:pStyle w:val="Heading4"/>
      </w:pPr>
      <w:r>
        <w:t xml:space="preserve">4.2.2. Scope 1 &amp; 2: Manufacturing / Production</w:t>
      </w:r>
    </w:p>
    <w:p>
      <w:pPr>
        <w:pStyle w:val="FirstParagraph"/>
      </w:pPr>
      <w:r>
        <w:t xml:space="preserve">Production takes place in China.</w:t>
      </w:r>
    </w:p>
    <w:p>
      <w:pPr>
        <w:numPr>
          <w:ilvl w:val="0"/>
          <w:numId w:val="1007"/>
        </w:numPr>
        <w:pStyle w:val="Compact"/>
      </w:pPr>
      <w:r>
        <w:t xml:space="preserve">Energy Intensity:</w:t>
      </w:r>
      <w:r>
        <w:t xml:space="preserve"> </w:t>
      </w:r>
      <w:bookmarkStart w:id="32" w:name="energyIntensity"/>
      <w:r>
        <w:t xml:space="preserve">0</w:t>
      </w:r>
      <w:bookmarkEnd w:id="32"/>
      <w:r>
        <w:t xml:space="preserve"> </w:t>
      </w:r>
      <w:r>
        <w:t xml:space="preserve">kWh/unit</w:t>
      </w:r>
    </w:p>
    <w:p>
      <w:pPr>
        <w:numPr>
          <w:ilvl w:val="0"/>
          <w:numId w:val="1007"/>
        </w:numPr>
        <w:pStyle w:val="Compact"/>
      </w:pPr>
      <w:r>
        <w:t xml:space="preserve">Renewable Energy Usage:</w:t>
      </w:r>
      <w:r>
        <w:t xml:space="preserve"> </w:t>
      </w:r>
      <w:bookmarkStart w:id="33" w:name="renewableEnergyUsage"/>
      <w:r>
        <w:t xml:space="preserve">0</w:t>
      </w:r>
      <w:bookmarkEnd w:id="33"/>
      <w:r>
        <w:t xml:space="preserve">%</w:t>
      </w:r>
    </w:p>
    <w:p>
      <w:pPr>
        <w:pStyle w:val="FirstParagraph"/>
      </w:pPr>
      <w:r>
        <w:t xml:space="preserve">Non-renewable energy consumption =</w:t>
      </w:r>
      <w:r>
        <w:t xml:space="preserve"> </w:t>
      </w:r>
      <w:bookmarkStart w:id="34" w:name="nonRenewableEnergyConsumption"/>
      <w:r>
        <w:t xml:space="preserve">0</w:t>
      </w:r>
      <w:bookmarkEnd w:id="34"/>
      <w:r>
        <w:t xml:space="preserve"> </w:t>
      </w:r>
      <w:r>
        <w:t xml:space="preserve">kWh/unit</w:t>
      </w:r>
    </w:p>
    <w:p>
      <w:pPr>
        <w:pStyle w:val="BodyText"/>
      </w:pPr>
      <w:r>
        <w:rPr>
          <w:bCs/>
          <w:b/>
        </w:rPr>
        <w:t xml:space="preserve">Scope 2 Emissions (Purchased Electricity):</w:t>
      </w:r>
      <w:r>
        <w:t xml:space="preserve"> </w:t>
      </w:r>
      <w:bookmarkStart w:id="35" w:name="scope2Emissions"/>
      <w:r>
        <w:t xml:space="preserve">0</w:t>
      </w:r>
      <w:bookmarkEnd w:id="35"/>
      <w:r>
        <w:t xml:space="preserve"> </w:t>
      </w:r>
      <w:r>
        <w:t xml:space="preserve">kg CO2e/unit</w:t>
      </w:r>
    </w:p>
    <w:p>
      <w:pPr>
        <w:pStyle w:val="BodyText"/>
      </w:pPr>
      <w:r>
        <w:rPr>
          <w:bCs/>
          <w:b/>
        </w:rPr>
        <w:t xml:space="preserve">Scope 1 Emissions (Direct):</w:t>
      </w:r>
      <w:r>
        <w:t xml:space="preserve"> </w:t>
      </w:r>
      <w:r>
        <w:t xml:space="preserve">Assumed negligible or integrated into electricity-related emissions within the \'factory_gate\' boundary, as no direct process emissions data was provided. If specific on-site fuel combustion or fugitive emissions exist, they would be quantified here.</w:t>
      </w:r>
    </w:p>
    <w:p>
      <w:pPr>
        <w:pStyle w:val="BodyText"/>
      </w:pPr>
      <w:r>
        <w:rPr>
          <w:bCs/>
          <w:b/>
        </w:rPr>
        <w:t xml:space="preserve">Total Production Emissions (Scope 1 &amp; 2):</w:t>
      </w:r>
      <w:r>
        <w:t xml:space="preserve"> </w:t>
      </w:r>
      <w:bookmarkStart w:id="36" w:name="totalProductionEmissions"/>
      <w:r>
        <w:t xml:space="preserve">0</w:t>
      </w:r>
      <w:bookmarkEnd w:id="36"/>
      <w:r>
        <w:t xml:space="preserve"> </w:t>
      </w:r>
      <w:r>
        <w:t xml:space="preserve">kg CO2e/unit</w:t>
      </w:r>
    </w:p>
    <w:bookmarkEnd w:id="37"/>
    <w:bookmarkStart w:id="45" w:name="X1d3bf3c9dc63d2363d19a47cbe5843fea9f51cb"/>
    <w:p>
      <w:pPr>
        <w:pStyle w:val="Heading4"/>
      </w:pPr>
      <w:r>
        <w:t xml:space="preserve">4.2.3. Scope 3 - Upstream/Downstream: Transportation</w:t>
      </w:r>
    </w:p>
    <w:p>
      <w:pPr>
        <w:pStyle w:val="FirstParagraph"/>
      </w:pPr>
      <w:r>
        <w:t xml:space="preserve">The product\'s total mass (for transport calculations) is derived from the BOM.</w:t>
      </w:r>
    </w:p>
    <w:p>
      <w:pPr>
        <w:pStyle w:val="BodyText"/>
      </w:pPr>
      <w:r>
        <w:rPr>
          <w:bCs/>
          <w:b/>
        </w:rPr>
        <w:t xml:space="preserve">Total Product Mass:</w:t>
      </w:r>
      <w:r>
        <w:t xml:space="preserve"> </w:t>
      </w:r>
      <w:bookmarkStart w:id="38" w:name="totalProductMass"/>
      <w:r>
        <w:t xml:space="preserve">0</w:t>
      </w:r>
      <w:bookmarkEnd w:id="38"/>
      <w:r>
        <w:t xml:space="preserve"> </w:t>
      </w:r>
      <w:r>
        <w:t xml:space="preserve">kg/unit</w:t>
      </w:r>
    </w:p>
    <w:bookmarkStart w:id="41" w:name="X5c1bfd12428365f6d7dc3d22f8db095eb6f5f06"/>
    <w:p>
      <w:pPr>
        <w:pStyle w:val="Heading5"/>
      </w:pPr>
      <w:r>
        <w:t xml:space="preserve">Primary Transport (Upstream or Downstream to Distribution)</w:t>
      </w:r>
    </w:p>
    <w:p>
      <w:pPr>
        <w:numPr>
          <w:ilvl w:val="0"/>
          <w:numId w:val="1008"/>
        </w:numPr>
        <w:pStyle w:val="Compact"/>
      </w:pPr>
      <w:r>
        <w:t xml:space="preserve">Mode: Road freight (HGV &gt;32t)</w:t>
      </w:r>
    </w:p>
    <w:p>
      <w:pPr>
        <w:numPr>
          <w:ilvl w:val="0"/>
          <w:numId w:val="1008"/>
        </w:numPr>
        <w:pStyle w:val="Compact"/>
      </w:pPr>
      <w:r>
        <w:t xml:space="preserve">Distance:</w:t>
      </w:r>
      <w:r>
        <w:t xml:space="preserve"> </w:t>
      </w:r>
      <w:bookmarkStart w:id="39" w:name="primaryTransportDistance"/>
      <w:r>
        <w:t xml:space="preserve">0</w:t>
      </w:r>
      <w:bookmarkEnd w:id="39"/>
      <w:r>
        <w:t xml:space="preserve"> </w:t>
      </w:r>
      <w:r>
        <w:t xml:space="preserve">km</w:t>
      </w:r>
    </w:p>
    <w:p>
      <w:pPr>
        <w:pStyle w:val="FirstParagraph"/>
      </w:pPr>
      <w:r>
        <w:rPr>
          <w:bCs/>
          <w:b/>
        </w:rPr>
        <w:t xml:space="preserve">Primary Transport Emissions (Scope 3 - Category 4/9: Upstream/Downstream Transportation and Distribution):</w:t>
      </w:r>
      <w:r>
        <w:t xml:space="preserve"> </w:t>
      </w:r>
      <w:bookmarkStart w:id="40" w:name="primaryTransportEmissions"/>
      <w:r>
        <w:t xml:space="preserve">0</w:t>
      </w:r>
      <w:bookmarkEnd w:id="40"/>
      <w:r>
        <w:t xml:space="preserve"> </w:t>
      </w:r>
      <w:r>
        <w:t xml:space="preserve">kg CO2e/unit</w:t>
      </w:r>
    </w:p>
    <w:bookmarkEnd w:id="41"/>
    <w:bookmarkStart w:id="44" w:name="last-mile-delivery-downstream"/>
    <w:p>
      <w:pPr>
        <w:pStyle w:val="Heading5"/>
      </w:pPr>
      <w:r>
        <w:t xml:space="preserve">Last-Mile Delivery (Downstream)</w:t>
      </w:r>
    </w:p>
    <w:p>
      <w:pPr>
        <w:numPr>
          <w:ilvl w:val="0"/>
          <w:numId w:val="1009"/>
        </w:numPr>
        <w:pStyle w:val="Compact"/>
      </w:pPr>
      <w:r>
        <w:t xml:space="preserve">Channel: Light Commercial Vehicle (LCV)</w:t>
      </w:r>
    </w:p>
    <w:p>
      <w:pPr>
        <w:numPr>
          <w:ilvl w:val="0"/>
          <w:numId w:val="1009"/>
        </w:numPr>
        <w:pStyle w:val="Compact"/>
      </w:pPr>
      <w:r>
        <w:t xml:space="preserve">Assumed Last-Mile Distance: 50 km (as not specified in \'Delivery Type\', a typical urban last-mile distance is assumed)</w:t>
      </w:r>
    </w:p>
    <w:p>
      <w:pPr>
        <w:pStyle w:val="FirstParagraph"/>
      </w:pPr>
      <w:r>
        <w:rPr>
          <w:bCs/>
          <w:b/>
        </w:rPr>
        <w:t xml:space="preserve">Last-Mile Delivery Emissions (Scope 3 - Category 9: Downstream Transportation and Distribution):</w:t>
      </w:r>
      <w:r>
        <w:t xml:space="preserve"> </w:t>
      </w:r>
      <w:bookmarkStart w:id="42" w:name="lastMileDeliveryEmissions"/>
      <w:r>
        <w:t xml:space="preserve">0</w:t>
      </w:r>
      <w:bookmarkEnd w:id="42"/>
      <w:r>
        <w:t xml:space="preserve"> </w:t>
      </w:r>
      <w:r>
        <w:t xml:space="preserve">kg CO2e/unit</w:t>
      </w:r>
    </w:p>
    <w:p>
      <w:pPr>
        <w:pStyle w:val="BodyText"/>
      </w:pPr>
      <w:r>
        <w:rPr>
          <w:bCs/>
          <w:b/>
        </w:rPr>
        <w:t xml:space="preserve">Total Transport Emissions (Scope 3):</w:t>
      </w:r>
      <w:r>
        <w:t xml:space="preserve"> </w:t>
      </w:r>
      <w:bookmarkStart w:id="43" w:name="totalTransportEmissions"/>
      <w:r>
        <w:t xml:space="preserve">0</w:t>
      </w:r>
      <w:bookmarkEnd w:id="43"/>
      <w:r>
        <w:t xml:space="preserve"> </w:t>
      </w:r>
      <w:r>
        <w:t xml:space="preserve">kg CO2e/unit</w:t>
      </w:r>
    </w:p>
    <w:bookmarkEnd w:id="44"/>
    <w:bookmarkEnd w:id="45"/>
    <w:bookmarkStart w:id="50" w:name="scope-3---downstream-use-phase"/>
    <w:p>
      <w:pPr>
        <w:pStyle w:val="Heading4"/>
      </w:pPr>
      <w:r>
        <w:t xml:space="preserve">4.2.4. Scope 3 - Downstream: Use Phase</w:t>
      </w:r>
    </w:p>
    <w:p>
      <w:pPr>
        <w:numPr>
          <w:ilvl w:val="0"/>
          <w:numId w:val="1010"/>
        </w:numPr>
        <w:pStyle w:val="Compact"/>
      </w:pPr>
      <w:r>
        <w:t xml:space="preserve">Product Lifespan:</w:t>
      </w:r>
      <w:r>
        <w:t xml:space="preserve"> </w:t>
      </w:r>
      <w:bookmarkStart w:id="46" w:name="productLifespan"/>
      <w:r>
        <w:t xml:space="preserve">0</w:t>
      </w:r>
      <w:bookmarkEnd w:id="46"/>
      <w:r>
        <w:t xml:space="preserve"> </w:t>
      </w:r>
      <w:r>
        <w:t xml:space="preserve">years</w:t>
      </w:r>
    </w:p>
    <w:p>
      <w:pPr>
        <w:numPr>
          <w:ilvl w:val="0"/>
          <w:numId w:val="1010"/>
        </w:numPr>
        <w:pStyle w:val="Compact"/>
      </w:pPr>
      <w:r>
        <w:t xml:space="preserve">Energy Consumption in Use:</w:t>
      </w:r>
      <w:r>
        <w:t xml:space="preserve"> </w:t>
      </w:r>
      <w:bookmarkStart w:id="47" w:name="energyConsumptionInUse"/>
      <w:r>
        <w:t xml:space="preserve">0</w:t>
      </w:r>
      <w:bookmarkEnd w:id="47"/>
      <w:r>
        <w:t xml:space="preserve"> </w:t>
      </w:r>
      <w:r>
        <w:t xml:space="preserve">kWh/year</w:t>
      </w:r>
    </w:p>
    <w:p>
      <w:pPr>
        <w:pStyle w:val="FirstParagraph"/>
      </w:pPr>
      <w:r>
        <w:t xml:space="preserve">Total energy consumption over lifespan =</w:t>
      </w:r>
      <w:r>
        <w:t xml:space="preserve"> </w:t>
      </w:r>
      <w:bookmarkStart w:id="48" w:name="totalEnergyConsumptionLifespan"/>
      <w:r>
        <w:t xml:space="preserve">0</w:t>
      </w:r>
      <w:bookmarkEnd w:id="48"/>
      <w:r>
        <w:t xml:space="preserve"> </w:t>
      </w:r>
      <w:r>
        <w:t xml:space="preserve">kWh/unit</w:t>
      </w:r>
    </w:p>
    <w:p>
      <w:pPr>
        <w:pStyle w:val="BodyText"/>
      </w:pPr>
      <w:r>
        <w:rPr>
          <w:bCs/>
          <w:b/>
        </w:rPr>
        <w:t xml:space="preserve">Use Phase Emissions (Scope 3 - Category 11: Use of Sold Products):</w:t>
      </w:r>
      <w:r>
        <w:t xml:space="preserve"> </w:t>
      </w:r>
      <w:bookmarkStart w:id="49" w:name="usePhaseEmissions"/>
      <w:r>
        <w:t xml:space="preserve">0</w:t>
      </w:r>
      <w:bookmarkEnd w:id="49"/>
      <w:r>
        <w:t xml:space="preserve"> </w:t>
      </w:r>
      <w:r>
        <w:t xml:space="preserve">kg CO2e/unit</w:t>
      </w:r>
    </w:p>
    <w:bookmarkEnd w:id="50"/>
    <w:bookmarkStart w:id="57" w:name="scope-3---downstream-end-of-life-eol"/>
    <w:p>
      <w:pPr>
        <w:pStyle w:val="Heading4"/>
      </w:pPr>
      <w:r>
        <w:t xml:space="preserve">4.2.5. Scope 3 - Downstream: End-of-Life (EoL)</w:t>
      </w:r>
    </w:p>
    <w:p>
      <w:pPr>
        <w:numPr>
          <w:ilvl w:val="0"/>
          <w:numId w:val="1011"/>
        </w:numPr>
        <w:pStyle w:val="Compact"/>
      </w:pPr>
      <w:r>
        <w:t xml:space="preserve">Recyclability Percentage:</w:t>
      </w:r>
      <w:r>
        <w:t xml:space="preserve"> </w:t>
      </w:r>
      <w:bookmarkStart w:id="51" w:name="recyclabilityPercentage"/>
      <w:r>
        <w:t xml:space="preserve">0</w:t>
      </w:r>
      <w:bookmarkEnd w:id="51"/>
      <w:r>
        <w:t xml:space="preserve">%</w:t>
      </w:r>
    </w:p>
    <w:p>
      <w:pPr>
        <w:numPr>
          <w:ilvl w:val="0"/>
          <w:numId w:val="1011"/>
        </w:numPr>
        <w:pStyle w:val="Compact"/>
      </w:pPr>
      <w:r>
        <w:t xml:space="preserve">Non-recycled portion:</w:t>
      </w:r>
      <w:r>
        <w:t xml:space="preserve"> </w:t>
      </w:r>
      <w:bookmarkStart w:id="52" w:name="nonRecycledPortion"/>
      <w:r>
        <w:t xml:space="preserve">0</w:t>
      </w:r>
      <w:bookmarkEnd w:id="52"/>
      <w:r>
        <w:t xml:space="preserve">%</w:t>
      </w:r>
    </w:p>
    <w:p>
      <w:pPr>
        <w:numPr>
          <w:ilvl w:val="0"/>
          <w:numId w:val="1011"/>
        </w:numPr>
        <w:pStyle w:val="Compact"/>
      </w:pPr>
      <w:r>
        <w:t xml:space="preserve">Circular/Take-back Programs:</w:t>
      </w:r>
      <w:r>
        <w:t xml:space="preserve"> </w:t>
      </w:r>
      <w:bookmarkStart w:id="53" w:name="circularPrograms"/>
      <w:r>
        <w:t xml:space="preserve">vmtzoqiijg</w:t>
      </w:r>
      <w:bookmarkEnd w:id="53"/>
      <w:r>
        <w:t xml:space="preserve"> </w:t>
      </w:r>
      <w:r>
        <w:t xml:space="preserve">(These programs are assumed to contribute to achieving the recyclability percentage and minimizing disposal to landfill/incineration beyond the base rate.)</w:t>
      </w:r>
    </w:p>
    <w:p>
      <w:pPr>
        <w:pStyle w:val="FirstParagraph"/>
      </w:pPr>
      <w:r>
        <w:t xml:space="preserve">For the non-recycled portion, an assumed split of 50% to landfill and 50% to incineration is used for calculation purposes, acknowledging potential credits for recycling are often reported as avoided emissions outside the direct inventory or integrated into material emission factors. This report focuses on direct disposal emissions for the non-recycled fraction.</w:t>
      </w:r>
    </w:p>
    <w:p>
      <w:pPr>
        <w:pStyle w:val="BodyText"/>
      </w:pPr>
      <w:r>
        <w:t xml:space="preserve">Emissions from Landfill = Product Mass * (Non-recycled % * 0.5) * Landfill EF =</w:t>
      </w:r>
      <w:r>
        <w:t xml:space="preserve"> </w:t>
      </w:r>
      <w:bookmarkStart w:id="54" w:name="landfillEmissions"/>
      <w:r>
        <w:t xml:space="preserve">0</w:t>
      </w:r>
      <w:bookmarkEnd w:id="54"/>
      <w:r>
        <w:t xml:space="preserve"> </w:t>
      </w:r>
      <w:r>
        <w:t xml:space="preserve">kg CO2e/unit</w:t>
      </w:r>
    </w:p>
    <w:p>
      <w:pPr>
        <w:pStyle w:val="BodyText"/>
      </w:pPr>
      <w:r>
        <w:t xml:space="preserve">Emissions from Incineration = Product Mass * (Non-recycled % * 0.5) * Incineration EF =</w:t>
      </w:r>
      <w:r>
        <w:t xml:space="preserve"> </w:t>
      </w:r>
      <w:bookmarkStart w:id="55" w:name="incinerationEmissions"/>
      <w:r>
        <w:t xml:space="preserve">0</w:t>
      </w:r>
      <w:bookmarkEnd w:id="55"/>
      <w:r>
        <w:t xml:space="preserve"> </w:t>
      </w:r>
      <w:r>
        <w:t xml:space="preserve">kg CO2e/unit</w:t>
      </w:r>
    </w:p>
    <w:p>
      <w:pPr>
        <w:pStyle w:val="BodyText"/>
      </w:pPr>
      <w:r>
        <w:rPr>
          <w:bCs/>
          <w:b/>
        </w:rPr>
        <w:t xml:space="preserve">End-of-Life Emissions (Scope 3 - Category 12: End-of-Life Treatment of Sold Products):</w:t>
      </w:r>
      <w:r>
        <w:t xml:space="preserve"> </w:t>
      </w:r>
      <w:bookmarkStart w:id="56" w:name="totalEoL_Emissions"/>
      <w:r>
        <w:t xml:space="preserve">0</w:t>
      </w:r>
      <w:bookmarkEnd w:id="56"/>
      <w:r>
        <w:t xml:space="preserve"> </w:t>
      </w:r>
      <w:r>
        <w:t xml:space="preserve">kg CO2e/unit</w:t>
      </w:r>
    </w:p>
    <w:bookmarkEnd w:id="57"/>
    <w:bookmarkEnd w:id="58"/>
    <w:bookmarkStart w:id="59" w:name="total-product-carbon-footprint"/>
    <w:p>
      <w:pPr>
        <w:pStyle w:val="Heading3"/>
      </w:pPr>
      <w:r>
        <w:t xml:space="preserve">4.3. Total Product Carbon Footprint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 Category</w:t>
            </w:r>
          </w:p>
        </w:tc>
        <w:tc>
          <w:tcPr/>
          <w:p>
            <w:pPr>
              <w:pStyle w:val="Compact"/>
              <w:jc w:val="left"/>
            </w:pPr>
            <w:r>
              <w:t xml:space="preserve">Emissions (kg CO2e/unit)</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0</w:t>
            </w:r>
          </w:p>
        </w:tc>
      </w:tr>
      <w:tr>
        <w:tc>
          <w:tcPr/>
          <w:p>
            <w:pPr>
              <w:pStyle w:val="Compact"/>
              <w:jc w:val="left"/>
            </w:pPr>
            <w:r>
              <w:t xml:space="preserve">Manufacturing / Production</w:t>
            </w:r>
          </w:p>
        </w:tc>
        <w:tc>
          <w:tcPr/>
          <w:p>
            <w:pPr>
              <w:pStyle w:val="Compact"/>
              <w:jc w:val="left"/>
            </w:pPr>
            <w:r>
              <w:t xml:space="preserve">Scope 1 &amp; 2</w:t>
            </w:r>
          </w:p>
        </w:tc>
        <w:tc>
          <w:tcPr/>
          <w:p>
            <w:pPr>
              <w:pStyle w:val="Compact"/>
              <w:jc w:val="left"/>
            </w:pPr>
            <w:r>
              <w:t xml:space="preserve">0</w:t>
            </w:r>
          </w:p>
        </w:tc>
      </w:tr>
      <w:tr>
        <w:tc>
          <w:tcPr/>
          <w:p>
            <w:pPr>
              <w:pStyle w:val="Compact"/>
              <w:jc w:val="left"/>
            </w:pPr>
            <w:r>
              <w:t xml:space="preserve">Transportation (Primary)</w:t>
            </w:r>
          </w:p>
        </w:tc>
        <w:tc>
          <w:tcPr/>
          <w:p>
            <w:pPr>
              <w:pStyle w:val="Compact"/>
              <w:jc w:val="left"/>
            </w:pPr>
            <w:r>
              <w:t xml:space="preserve">Scope 3 (Category 4/9)</w:t>
            </w:r>
          </w:p>
        </w:tc>
        <w:tc>
          <w:tcPr/>
          <w:p>
            <w:pPr>
              <w:pStyle w:val="Compact"/>
              <w:jc w:val="left"/>
            </w:pPr>
            <w:r>
              <w:t xml:space="preserve">0</w:t>
            </w:r>
          </w:p>
        </w:tc>
      </w:tr>
      <w:tr>
        <w:tc>
          <w:tcPr/>
          <w:p>
            <w:pPr>
              <w:pStyle w:val="Compact"/>
              <w:jc w:val="left"/>
            </w:pPr>
            <w:r>
              <w:t xml:space="preserve">Transportation (Last-Mile)</w:t>
            </w:r>
          </w:p>
        </w:tc>
        <w:tc>
          <w:tcPr/>
          <w:p>
            <w:pPr>
              <w:pStyle w:val="Compact"/>
              <w:jc w:val="left"/>
            </w:pPr>
            <w:r>
              <w:t xml:space="preserve">Scope 3 (Category 9)</w:t>
            </w:r>
          </w:p>
        </w:tc>
        <w:tc>
          <w:tcPr/>
          <w:p>
            <w:pPr>
              <w:pStyle w:val="Compact"/>
              <w:jc w:val="left"/>
            </w:pPr>
            <w:r>
              <w:t xml:space="preserve">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w:t>
            </w:r>
          </w:p>
        </w:tc>
      </w:tr>
      <w:tr>
        <w:tc>
          <w:tcPr/>
          <w:p>
            <w:pPr>
              <w:pStyle w:val="Compact"/>
              <w:jc w:val="left"/>
            </w:pPr>
            <w:r>
              <w:t xml:space="preserve">TOTAL PRODUCT CARBON FOOTPRINT</w:t>
            </w:r>
          </w:p>
        </w:tc>
        <w:tc>
          <w:tcPr/>
          <w:p>
            <w:pPr>
              <w:pStyle w:val="Compact"/>
              <w:jc w:val="left"/>
            </w:pPr>
            <w:r>
              <w:t xml:space="preserve">All Scopes</w:t>
            </w:r>
          </w:p>
        </w:tc>
        <w:tc>
          <w:tcPr/>
          <w:p>
            <w:pPr>
              <w:pStyle w:val="Compact"/>
              <w:jc w:val="left"/>
            </w:pPr>
            <w:r>
              <w:t xml:space="preserve">0</w:t>
            </w:r>
          </w:p>
        </w:tc>
      </w:tr>
    </w:tbl>
    <w:p>
      <w:r>
        <w:pict>
          <v:rect style="width:0;height:1.5pt" o:hralign="center" o:hrstd="t" o:hr="t"/>
        </w:pict>
      </w:r>
    </w:p>
    <w:bookmarkEnd w:id="59"/>
    <w:bookmarkEnd w:id="60"/>
    <w:bookmarkStart w:id="68" w:name="review-report"/>
    <w:p>
      <w:pPr>
        <w:pStyle w:val="Heading2"/>
      </w:pPr>
      <w:r>
        <w:t xml:space="preserve">5. Review &amp; Report</w:t>
      </w:r>
    </w:p>
    <w:bookmarkStart w:id="64" w:name="emission-hotspots"/>
    <w:p>
      <w:pPr>
        <w:pStyle w:val="Heading3"/>
      </w:pPr>
      <w:r>
        <w:t xml:space="preserve">5.1. Emission Hotspots</w:t>
      </w:r>
    </w:p>
    <w:p>
      <w:pPr>
        <w:pStyle w:val="FirstParagraph"/>
      </w:pPr>
      <w:r>
        <w:t xml:space="preserve">The primary emission hotspots for</w:t>
      </w:r>
      <w:r>
        <w:t xml:space="preserve"> </w:t>
      </w:r>
      <w:r>
        <w:rPr>
          <w:bCs/>
          <w:b/>
        </w:rPr>
        <w:t xml:space="preserve">wpyirjovmm</w:t>
      </w:r>
      <w:r>
        <w:t xml:space="preserve"> </w:t>
      </w:r>
      <w:r>
        <w:t xml:space="preserve">are identified as:</w:t>
      </w:r>
    </w:p>
    <w:bookmarkStart w:id="61" w:name="hotspot1"/>
    <w:bookmarkEnd w:id="61"/>
    <w:bookmarkStart w:id="62" w:name="hotspot2"/>
    <w:bookmarkEnd w:id="62"/>
    <w:bookmarkStart w:id="63" w:name="hotspot3"/>
    <w:bookmarkEnd w:id="63"/>
    <w:p>
      <w:pPr>
        <w:numPr>
          <w:ilvl w:val="0"/>
          <w:numId w:val="1012"/>
        </w:numPr>
        <w:pStyle w:val="Compact"/>
      </w:pPr>
      <w:r>
        <w:t xml:space="preserve">Further detailed analysis can pinpoint specific materials or energy-intensive processes contributing most significantly.</w:t>
      </w:r>
    </w:p>
    <w:bookmarkEnd w:id="64"/>
    <w:bookmarkStart w:id="65" w:name="reliability-assessment"/>
    <w:p>
      <w:pPr>
        <w:pStyle w:val="Heading3"/>
      </w:pPr>
      <w:r>
        <w:t xml:space="preserve">5.2. Reliability Assessment</w:t>
      </w:r>
    </w:p>
    <w:p>
      <w:pPr>
        <w:pStyle w:val="FirstParagraph"/>
      </w:pPr>
      <w:r>
        <w:t xml:space="preserve">The reliability of this PCF analysis is assessed as moderate to high, given the provision of detailed Bill of Materials data and specific operational parameters.</w:t>
      </w:r>
    </w:p>
    <w:p>
      <w:pPr>
        <w:numPr>
          <w:ilvl w:val="0"/>
          <w:numId w:val="1013"/>
        </w:numPr>
        <w:pStyle w:val="Compact"/>
      </w:pPr>
      <w:r>
        <w:rPr>
          <w:bCs/>
          <w:b/>
        </w:rPr>
        <w:t xml:space="preserve">High Reliability:</w:t>
      </w:r>
      <w:r>
        <w:t xml:space="preserve"> </w:t>
      </w:r>
      <w:r>
        <w:t xml:space="preserve">Material impacts are directly derived from provided \'Total Carbon\' values. Energy consumption in production and use phase, product lifespan, and recyclability percentages are explicitly given.</w:t>
      </w:r>
    </w:p>
    <w:p>
      <w:pPr>
        <w:numPr>
          <w:ilvl w:val="0"/>
          <w:numId w:val="1013"/>
        </w:numPr>
        <w:pStyle w:val="Compact"/>
      </w:pPr>
      <w:r>
        <w:rPr>
          <w:bCs/>
          <w:b/>
        </w:rPr>
        <w:t xml:space="preserve">Moderate Reliability:</w:t>
      </w:r>
      <w:r>
        <w:t xml:space="preserve"> </w:t>
      </w:r>
      <w:r>
        <w:t xml:space="preserve">Transport emission factors are based on industry averages for assumed vehicle types (HGV, LCV) and distances, which may not perfectly reflect actual logistics. End-of-life assumptions regarding landfill/incineration split for non-recycled waste are generalized.</w:t>
      </w:r>
    </w:p>
    <w:p>
      <w:pPr>
        <w:numPr>
          <w:ilvl w:val="0"/>
          <w:numId w:val="1013"/>
        </w:numPr>
        <w:pStyle w:val="Compact"/>
      </w:pPr>
      <w:r>
        <w:rPr>
          <w:bCs/>
          <w:b/>
        </w:rPr>
        <w:t xml:space="preserve">Data Gaps/Assumptions:</w:t>
      </w:r>
      <w:r>
        <w:t xml:space="preserve"> </w:t>
      </w:r>
      <w:r>
        <w:t xml:space="preserve">Specific Scope 1 direct emissions for manufacturing were not provided and assumed negligible. Precise details on "Select Mode" and "Delivery Type" required some general industry assumptions. The exact impact of "Circular/Take-back Programs" is qualitatively acknowledged in EoL calculations.</w:t>
      </w:r>
    </w:p>
    <w:bookmarkEnd w:id="65"/>
    <w:bookmarkStart w:id="67" w:name="recommendations-for-emission-reduction"/>
    <w:p>
      <w:pPr>
        <w:pStyle w:val="Heading3"/>
      </w:pPr>
      <w:r>
        <w:t xml:space="preserve">5.3. Recommendations for Emission Reduction</w:t>
      </w:r>
    </w:p>
    <w:p>
      <w:pPr>
        <w:pStyle w:val="FirstParagraph"/>
      </w:pPr>
      <w:r>
        <w:t xml:space="preserve">Based on this PCF analysis,</w:t>
      </w:r>
      <w:r>
        <w:t xml:space="preserve"> </w:t>
      </w:r>
      <w:r>
        <w:rPr>
          <w:bCs/>
          <w:b/>
        </w:rPr>
        <w:t xml:space="preserve">mrytuxzfpo</w:t>
      </w:r>
      <w:r>
        <w:t xml:space="preserve"> </w:t>
      </w:r>
      <w:r>
        <w:t xml:space="preserve">is encouraged to consider the following actions to reduce the carbon footprint of</w:t>
      </w:r>
      <w:r>
        <w:t xml:space="preserve"> </w:t>
      </w:r>
      <w:r>
        <w:rPr>
          <w:bCs/>
          <w:b/>
        </w:rPr>
        <w:t xml:space="preserve">wpyirjovmm</w:t>
      </w:r>
      <w:r>
        <w:t xml:space="preserve">:</w:t>
      </w:r>
    </w:p>
    <w:p>
      <w:pPr>
        <w:numPr>
          <w:ilvl w:val="0"/>
          <w:numId w:val="1014"/>
        </w:numPr>
        <w:pStyle w:val="Compact"/>
      </w:pPr>
      <w:r>
        <w:rPr>
          <w:bCs/>
          <w:b/>
        </w:rPr>
        <w:t xml:space="preserve">Material Optimization:</w:t>
      </w:r>
      <w:r>
        <w:t xml:space="preserve"> </w:t>
      </w:r>
      <w:r>
        <w:t xml:space="preserve">Investigate opportunities to source lower-carbon alternative materials or reduce material quantities, focusing on components with high \'Total Carbon\' values.</w:t>
      </w:r>
    </w:p>
    <w:p>
      <w:pPr>
        <w:numPr>
          <w:ilvl w:val="0"/>
          <w:numId w:val="1014"/>
        </w:numPr>
        <w:pStyle w:val="Compact"/>
      </w:pPr>
      <w:r>
        <w:rPr>
          <w:bCs/>
          <w:b/>
        </w:rPr>
        <w:t xml:space="preserve">Renewable Energy Expansion:</w:t>
      </w:r>
      <w:r>
        <w:t xml:space="preserve"> </w:t>
      </w:r>
      <w:r>
        <w:t xml:space="preserve">Increase the percentage of renewable energy used in the manufacturing facility beyond current usage (hmeqhqzztf) to further reduce Scope 2 emissions. Explore options for renewable energy procurement or on-site generation.</w:t>
      </w:r>
    </w:p>
    <w:p>
      <w:pPr>
        <w:numPr>
          <w:ilvl w:val="0"/>
          <w:numId w:val="1014"/>
        </w:numPr>
        <w:pStyle w:val="Compact"/>
      </w:pPr>
      <w:r>
        <w:rPr>
          <w:bCs/>
          <w:b/>
        </w:rPr>
        <w:t xml:space="preserve">Logistics Efficiency:</w:t>
      </w:r>
      <w:r>
        <w:t xml:space="preserve"> </w:t>
      </w:r>
      <w:r>
        <w:t xml:space="preserve">Optimize transportation routes, explore more efficient transport modes (e.g., rail or sea where feasible for longer distances), and consolidate shipments to reduce fuel consumption and associated emissions.</w:t>
      </w:r>
    </w:p>
    <w:p>
      <w:pPr>
        <w:numPr>
          <w:ilvl w:val="0"/>
          <w:numId w:val="1014"/>
        </w:numPr>
        <w:pStyle w:val="Compact"/>
      </w:pPr>
      <w:r>
        <w:rPr>
          <w:bCs/>
          <w:b/>
        </w:rPr>
        <w:t xml:space="preserve">Product Design for Longevity &amp; Circularity:</w:t>
      </w:r>
      <w:r>
        <w:t xml:space="preserve"> </w:t>
      </w:r>
      <w:r>
        <w:t xml:space="preserve">Enhance product durability (lfemkroyxf) and design for easier disassembly, repair, and recycling to minimize end-of-life waste and maximize material recovery. Strengthen circular economy initiatives (vmtzoqiijg).</w:t>
      </w:r>
    </w:p>
    <w:p>
      <w:pPr>
        <w:numPr>
          <w:ilvl w:val="0"/>
          <w:numId w:val="1014"/>
        </w:numPr>
        <w:pStyle w:val="Compact"/>
      </w:pPr>
      <w:r>
        <w:rPr>
          <w:bCs/>
          <w:b/>
        </w:rPr>
        <w:t xml:space="preserve">User Energy Efficiency:</w:t>
      </w:r>
      <w:r>
        <w:t xml:space="preserve"> </w:t>
      </w:r>
      <w:r>
        <w:t xml:space="preserve">Explore design improvements to reduce energy consumption during the product\'s use phase (plgdzifqef).</w:t>
      </w:r>
    </w:p>
    <w:p>
      <w:r>
        <w:pict>
          <v:rect style="width:0;height:1.5pt" o:hralign="center" o:hrstd="t" o:hr="t"/>
        </w:pict>
      </w:r>
    </w:p>
    <w:p>
      <w:pPr>
        <w:pStyle w:val="FirstParagraph"/>
      </w:pPr>
      <w:r>
        <w:t xml:space="preserve">Confidential - Internal Use Only | Page</w:t>
      </w:r>
      <w:r>
        <w:t xml:space="preserve"> </w:t>
      </w:r>
      <w:bookmarkStart w:id="66" w:name="pageNumber"/>
      <w:bookmarkEnd w:id="66"/>
    </w:p>
    <w:bookmarkEnd w:id="67"/>
    <w:bookmarkEnd w:id="68"/>
    <w:bookmarkEnd w:id="6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wpyirjovmm</dc:title>
  <dc:creator/>
  <dc:description>Detailed Product Carbon Footprint (PCF) analysis report for product wpyirjovmm, conducted by Senior Sustainability Consultant ilowlmrsvm for company mrytuxzfpo, adhering to GHG Protocol and 2026 LSR update.</dc:description>
  <dc:language>en</dc:language>
  <cp:keywords/>
  <dcterms:created xsi:type="dcterms:W3CDTF">2026-07-15T20:11:09Z</dcterms:created>
  <dcterms:modified xsi:type="dcterms:W3CDTF">2026-07-15T20:11:09Z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