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wlozilgkev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wlozilgkev</w:t>
      </w:r>
    </w:p>
    <w:p>
      <w:pPr>
        <w:pStyle w:val="BodyText"/>
      </w:pPr>
      <w:r>
        <w:rPr>
          <w:bCs/>
          <w:b/>
        </w:rPr>
        <w:t xml:space="preserve">Company Name:</w:t>
      </w:r>
      <w:r>
        <w:t xml:space="preserve"> </w:t>
      </w:r>
      <w:r>
        <w:t xml:space="preserve">xixdyyzdgv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mmjqnkiqvy</w:t>
      </w:r>
    </w:p>
    <w:p>
      <w:pPr>
        <w:pStyle w:val="BodyText"/>
      </w:pPr>
      <w:r>
        <w:t xml:space="preserve">Disclaimer: This report is generated based on available data and industry standards. For specific, verified data, further primary data collection and expert review would be required.</w:t>
      </w:r>
    </w:p>
    <w:bookmarkEnd w:id="20"/>
    <w:bookmarkStart w:id="21" w:name="Xbf1eef41644077d5865f16c8fde479d41fe3301"/>
    <w:p>
      <w:pPr>
        <w:pStyle w:val="Heading1"/>
      </w:pPr>
      <w:r>
        <w:t xml:space="preserve">Product Carbon Footprint (PCF) Analysis for wlozilgkev</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the high-level Product Carbon Footprint (PCF) analysis for the product wlozilgkev, manufactured by xixdyyzdgv. The analysis was conducted by Senior Sustainability Consultant mmjqnkiqvy, adhering strictly to the GHG Protocol. The objective is to quantify the greenhouse gas emissions across the product\'s lifecycle, from material extraction to end-of-life, identify key hotspots, and provide a foundational understanding for future emission reduction strategies. The total estimated PCF for one functional unit of wlozilgkev is calculated by aggregating emissions from raw materials, production, transportation, use phase, and end-of-life scenarios, applying the 2026 Land Sector and Removals (LSR) Standard and ensuring at least 95% Scope 3 coverage.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wlozilgkev follows the five-step methodology as prescribed by the GHG Protocol, incorporating recent updates such as the 2026 Land Sector and Removals (LSR) Standard for land use and carbon removals, and ensuring comprehensive Scope 3 coverage.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wlozilgkev.</w:t>
      </w:r>
    </w:p>
    <w:p>
      <w:pPr>
        <w:numPr>
          <w:ilvl w:val="0"/>
          <w:numId w:val="1001"/>
        </w:numPr>
        <w:pStyle w:val="Compact"/>
      </w:pPr>
      <w:r>
        <w:rPr>
          <w:bCs/>
          <w:b/>
        </w:rPr>
        <w:t xml:space="preserve">System Boundary:</w:t>
      </w:r>
      <w:r>
        <w:t xml:space="preserve"> </w:t>
      </w:r>
      <w:r>
        <w:t xml:space="preserve">factory_gate. This boundary typically includes all upstream emissions (raw material extraction and processing) and emissions from manufacturing processes up to the point the product leaves the factory. For this analysis, we extend to cover the full lifecycle as per user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Mass-based allocation is applied where co-products or by-products are present, or economic allocation for complex value chains where relevant.</w:t>
      </w:r>
    </w:p>
    <w:bookmarkEnd w:id="23"/>
    <w:bookmarkStart w:id="24" w:name="map-lifecycle-lci-inventory-stages"/>
    <w:p>
      <w:pPr>
        <w:pStyle w:val="Heading3"/>
      </w:pPr>
      <w:r>
        <w:t xml:space="preserve">1.2. Map Lifecycle (LCI Inventory Stages)</w:t>
      </w:r>
    </w:p>
    <w:p>
      <w:pPr>
        <w:pStyle w:val="FirstParagraph"/>
      </w:pPr>
      <w:r>
        <w:t xml:space="preserve">The lifecycle of wlozilgkev has been mapped into the following stages:</w:t>
      </w:r>
    </w:p>
    <w:p>
      <w:pPr>
        <w:numPr>
          <w:ilvl w:val="0"/>
          <w:numId w:val="1003"/>
        </w:numPr>
        <w:pStyle w:val="Compact"/>
      </w:pPr>
      <w:r>
        <w:rPr>
          <w:bCs/>
          <w:b/>
        </w:rPr>
        <w:t xml:space="preserve">Raw Material Acquisition &amp; Pre-processing:</w:t>
      </w:r>
      <w:r>
        <w:t xml:space="preserve"> </w:t>
      </w:r>
      <w:r>
        <w:t xml:space="preserve">Extraction, processing, and refining of all materials specified in the Bill of Materials (BOM).</w:t>
      </w:r>
    </w:p>
    <w:p>
      <w:pPr>
        <w:numPr>
          <w:ilvl w:val="0"/>
          <w:numId w:val="1003"/>
        </w:numPr>
        <w:pStyle w:val="Compact"/>
      </w:pPr>
      <w:r>
        <w:rPr>
          <w:bCs/>
          <w:b/>
        </w:rPr>
        <w:t xml:space="preserve">Manufacturing / Production:</w:t>
      </w:r>
      <w:r>
        <w:t xml:space="preserve"> </w:t>
      </w:r>
      <w:r>
        <w:t xml:space="preserve">Energy consumption and direct emissions at the xixdyyzdgv factory in China for assembling wlozilgkev.</w:t>
      </w:r>
    </w:p>
    <w:p>
      <w:pPr>
        <w:numPr>
          <w:ilvl w:val="0"/>
          <w:numId w:val="1003"/>
        </w:numPr>
        <w:pStyle w:val="Compact"/>
      </w:pPr>
      <w:r>
        <w:rPr>
          <w:bCs/>
          <w:b/>
        </w:rPr>
        <w:t xml:space="preserve">Transportation &amp; Distribution:</w:t>
      </w:r>
      <w:r>
        <w:t xml:space="preserve"> </w:t>
      </w:r>
      <w:r>
        <w:t xml:space="preserve">Movement of raw materials to the factory, and finished products from the factory to the customer in Europe, including last-mile delivery.</w:t>
      </w:r>
    </w:p>
    <w:p>
      <w:pPr>
        <w:numPr>
          <w:ilvl w:val="0"/>
          <w:numId w:val="1003"/>
        </w:numPr>
        <w:pStyle w:val="Compact"/>
      </w:pPr>
      <w:r>
        <w:rPr>
          <w:bCs/>
          <w:b/>
        </w:rPr>
        <w:t xml:space="preserve">Use Phase:</w:t>
      </w:r>
      <w:r>
        <w:t xml:space="preserve"> </w:t>
      </w:r>
      <w:r>
        <w:t xml:space="preserve">Energy consumption and related emissions during the typical lifespan of wlozilgkev.</w:t>
      </w:r>
    </w:p>
    <w:p>
      <w:pPr>
        <w:numPr>
          <w:ilvl w:val="0"/>
          <w:numId w:val="1003"/>
        </w:numPr>
        <w:pStyle w:val="Compact"/>
      </w:pPr>
      <w:r>
        <w:rPr>
          <w:bCs/>
          <w:b/>
        </w:rPr>
        <w:t xml:space="preserve">End-of-Life (EoL):</w:t>
      </w:r>
      <w:r>
        <w:t xml:space="preserve"> </w:t>
      </w:r>
      <w:r>
        <w:t xml:space="preserve">Disposal, recycling, and potential circular economy impacts at the end of the product\'s life.</w:t>
      </w:r>
    </w:p>
    <w:bookmarkEnd w:id="24"/>
    <w:bookmarkStart w:id="25" w:name="Xb57f50a89bf1f3f1837369be949d9d60d6c1272"/>
    <w:p>
      <w:pPr>
        <w:pStyle w:val="Heading3"/>
      </w:pPr>
      <w:r>
        <w:t xml:space="preserve">1.3. Collect Data (Primary/Secondary Data Points)</w:t>
      </w:r>
    </w:p>
    <w:p>
      <w:pPr>
        <w:pStyle w:val="FirstParagraph"/>
      </w:pPr>
      <w:r>
        <w:t xml:space="preserve">Data was collected and utilized as follows:</w:t>
      </w:r>
    </w:p>
    <w:p>
      <w:pPr>
        <w:numPr>
          <w:ilvl w:val="0"/>
          <w:numId w:val="1004"/>
        </w:numPr>
        <w:pStyle w:val="Compact"/>
      </w:pPr>
      <w:r>
        <w:rPr>
          <w:bCs/>
          <w:b/>
        </w:rPr>
        <w:t xml:space="preserve">Primary Data:</w:t>
      </w:r>
      <w:r>
        <w:t xml:space="preserve"> </w:t>
      </w:r>
      <w:r>
        <w:t xml:space="preserve">Specific parameters provided by the client, including BOM, energy usage, transport distance, product lifespan, energy consumption in use, recyclability, and circular programs.</w:t>
      </w:r>
    </w:p>
    <w:p>
      <w:pPr>
        <w:numPr>
          <w:ilvl w:val="0"/>
          <w:numId w:val="1004"/>
        </w:numPr>
        <w:pStyle w:val="Compact"/>
      </w:pPr>
      <w:r>
        <w:rPr>
          <w:bCs/>
          <w:b/>
        </w:rPr>
        <w:t xml:space="preserve">Secondary Data:</w:t>
      </w:r>
      <w:r>
        <w:t xml:space="preserve"> </w:t>
      </w:r>
      <w:r>
        <w:t xml:space="preserve">Industry-standard emission factors (e.g., from Ecoinvent/DEFRA equivalents) for generic processes, electricity grids, and transportation, as derived from reliable sources.</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for each stage by multiplying the activity data (e.g., quantity of material, energy consumed, distance traveled) by the relevant emission factor (e.g., kg CO2e/kg material, kg CO2e/kWh, kg CO2e/tkm). Global Warming Potentials (GWP) from the IPCC Fifth Assessment Report (AR5) are used to convert all greenhouse gases into CO2 equivalents (CO2e).</w:t>
      </w:r>
    </w:p>
    <w:bookmarkEnd w:id="26"/>
    <w:bookmarkStart w:id="27" w:name="review-report-hotspots-and-reliability"/>
    <w:p>
      <w:pPr>
        <w:pStyle w:val="Heading3"/>
      </w:pPr>
      <w:r>
        <w:t xml:space="preserve">1.5. Review &amp; Report (Hotspots and Reliability)</w:t>
      </w:r>
    </w:p>
    <w:p>
      <w:pPr>
        <w:pStyle w:val="FirstParagraph"/>
      </w:pPr>
      <w:r>
        <w:t xml:space="preserve">The results are reviewed to identify emission hotspots and assess data reliability. The report summarizes the total PCF, breaks down emissions by lifecycle stage and GHG Protocol scope, and highlights areas for potential reduction.</w:t>
      </w:r>
    </w:p>
    <w:p>
      <w:r>
        <w:pict>
          <v:rect style="width:0;height:1.5pt" o:hralign="center" o:hrstd="t" o:hr="t"/>
        </w:pict>
      </w:r>
    </w:p>
    <w:bookmarkEnd w:id="27"/>
    <w:bookmarkEnd w:id="28"/>
    <w:bookmarkStart w:id="33" w:name="detailed-pcf-analysis-for-wlozilgkev"/>
    <w:p>
      <w:pPr>
        <w:pStyle w:val="Heading2"/>
      </w:pPr>
      <w:r>
        <w:t xml:space="preserve">2. Detailed PCF Analysis for wlozilgkev</w:t>
      </w:r>
    </w:p>
    <w:bookmarkStart w:id="29" w:name="scope-definition-parameters"/>
    <w:p>
      <w:pPr>
        <w:pStyle w:val="Heading3"/>
      </w:pPr>
      <w:r>
        <w:t xml:space="preserve">2.1. Scope Definition Parameters</w:t>
      </w:r>
    </w:p>
    <w:p>
      <w:pPr>
        <w:numPr>
          <w:ilvl w:val="0"/>
          <w:numId w:val="1005"/>
        </w:numPr>
        <w:pStyle w:val="Compact"/>
      </w:pPr>
      <w:r>
        <w:rPr>
          <w:bCs/>
          <w:b/>
        </w:rPr>
        <w:t xml:space="preserve">Product Name:</w:t>
      </w:r>
      <w:r>
        <w:t xml:space="preserve"> </w:t>
      </w:r>
      <w:r>
        <w:t xml:space="preserve">wlozilgkev</w:t>
      </w:r>
    </w:p>
    <w:p>
      <w:pPr>
        <w:numPr>
          <w:ilvl w:val="0"/>
          <w:numId w:val="1005"/>
        </w:numPr>
        <w:pStyle w:val="Compact"/>
      </w:pPr>
      <w:r>
        <w:rPr>
          <w:bCs/>
          <w:b/>
        </w:rPr>
        <w:t xml:space="preserve">Company Name:</w:t>
      </w:r>
      <w:r>
        <w:t xml:space="preserve"> </w:t>
      </w:r>
      <w:r>
        <w:t xml:space="preserve">xixdyyzdgv</w:t>
      </w:r>
    </w:p>
    <w:p>
      <w:pPr>
        <w:numPr>
          <w:ilvl w:val="0"/>
          <w:numId w:val="1005"/>
        </w:numPr>
        <w:pStyle w:val="Compact"/>
      </w:pPr>
      <w:r>
        <w:rPr>
          <w:bCs/>
          <w:b/>
        </w:rPr>
        <w:t xml:space="preserve">Senior Sustainability Consultant:</w:t>
      </w:r>
      <w:r>
        <w:t xml:space="preserve"> </w:t>
      </w:r>
      <w:r>
        <w:t xml:space="preserve">mmjqnkiqvy</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full lifecycle analysis)</w:t>
      </w:r>
    </w:p>
    <w:p>
      <w:pPr>
        <w:numPr>
          <w:ilvl w:val="0"/>
          <w:numId w:val="1005"/>
        </w:numPr>
        <w:pStyle w:val="Compact"/>
      </w:pPr>
      <w:r>
        <w:rPr>
          <w:bCs/>
          <w:b/>
        </w:rPr>
        <w:t xml:space="preserve">Geographic Scope - Final Production Country:</w:t>
      </w:r>
      <w:r>
        <w:t xml:space="preserve"> </w:t>
      </w:r>
      <w:r>
        <w:t xml:space="preserve">China</w:t>
      </w:r>
    </w:p>
    <w:p>
      <w:pPr>
        <w:numPr>
          <w:ilvl w:val="0"/>
          <w:numId w:val="1005"/>
        </w:numPr>
        <w:pStyle w:val="Compact"/>
      </w:pPr>
      <w:r>
        <w:rPr>
          <w:bCs/>
          <w:b/>
        </w:rPr>
        <w:t xml:space="preserve">Geographic Scope - Supply Chain Focus:</w:t>
      </w:r>
      <w:r>
        <w:t xml:space="preserve"> </w:t>
      </w:r>
      <w:r>
        <w:t xml:space="preserve">Europe Focused</w:t>
      </w:r>
    </w:p>
    <w:p>
      <w:pPr>
        <w:numPr>
          <w:ilvl w:val="0"/>
          <w:numId w:val="1005"/>
        </w:numPr>
        <w:pStyle w:val="Compact"/>
      </w:pPr>
      <w:r>
        <w:rPr>
          <w:bCs/>
          <w:b/>
        </w:rPr>
        <w:t xml:space="preserve">Accounting Standard:</w:t>
      </w:r>
      <w:r>
        <w:t xml:space="preserve"> </w:t>
      </w:r>
      <w:r>
        <w:t xml:space="preserve">GHG Protocol</w:t>
      </w:r>
    </w:p>
    <w:bookmarkEnd w:id="29"/>
    <w:bookmarkStart w:id="32" w:name="X1b8e1e8faec7a60caa895c09e6dc44156b35006"/>
    <w:p>
      <w:pPr>
        <w:pStyle w:val="Heading3"/>
      </w:pPr>
      <w:r>
        <w:t xml:space="preserve">2.2. Lifecycle Mapping &amp; Data Collection (Materials &amp; Energy)</w:t>
      </w:r>
    </w:p>
    <w:bookmarkStart w:id="30" w:name="detailed-bill-of-materials-bom-analysis"/>
    <w:p>
      <w:pPr>
        <w:pStyle w:val="Heading4"/>
      </w:pPr>
      <w:r>
        <w:t xml:space="preserve">2.2.1. Detailed Bill of Materials (BOM) Analysis</w:t>
      </w:r>
    </w:p>
    <w:p>
      <w:pPr>
        <w:pStyle w:val="FirstParagraph"/>
      </w:pPr>
      <w:r>
        <w:t xml:space="preserve">The provided Detailed Bill of Materials (BOM) parameter is</w:t>
      </w:r>
      <w:r>
        <w:t xml:space="preserve"> </w:t>
      </w:r>
      <w:r>
        <w:rPr>
          <w:rStyle w:val="VerbatimChar"/>
        </w:rPr>
        <w:t xml:space="preserve">feiftfjl</w:t>
      </w:r>
      <w:r>
        <w:t xml:space="preserve">. As this is a placeholder for the actual detailed data, for the purpose of a high-detail analysis demonstration, we have constructed an illustrative BOM that follows the specified format (ID, Description, Category, Process, Qty, Unit, Emission Factor, Total Carbon). This illustrative data is used to calculate the material impact. The "Total Carbon" column represents the pre-calculated carbon emissions for each item, derived from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Battery Pack</w:t>
            </w:r>
          </w:p>
        </w:tc>
        <w:tc>
          <w:tcPr/>
          <w:p>
            <w:pPr>
              <w:pStyle w:val="Compact"/>
              <w:jc w:val="left"/>
            </w:pPr>
            <w:r>
              <w:t xml:space="preserve">Metal/Chemical</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Internal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(Primary)</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p>
            <w:pPr>
              <w:pStyle w:val="Compact"/>
              <w:jc w:val="left"/>
            </w:pPr>
            <w:r>
              <w:t xml:space="preserve">6</w:t>
            </w:r>
          </w:p>
        </w:tc>
        <w:tc>
          <w:tcPr/>
          <w:p>
            <w:pPr>
              <w:pStyle w:val="Compact"/>
              <w:jc w:val="left"/>
            </w:pPr>
            <w:r>
              <w:t xml:space="preserve">Screws &amp;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0.030</w:t>
            </w:r>
          </w:p>
        </w:tc>
      </w:tr>
      <w:tr>
        <w:tc>
          <w:tcPr>
            <w:gridSpan w:val="7"/>
          </w:tcPr>
          <w:p>
            <w:pPr>
              <w:pStyle w:val="Compact"/>
              <w:jc w:val="right"/>
            </w:pPr>
            <w:r>
              <w:t xml:space="preserve">Total Material Impact (Scope 3 - Upstream)</w:t>
            </w:r>
          </w:p>
        </w:tc>
        <w:tc>
          <w:tcPr/>
          <w:p>
            <w:pPr>
              <w:pStyle w:val="Compact"/>
              <w:jc w:val="left"/>
            </w:pPr>
            <w:r>
              <w:rPr>
                <w:bCs/>
                <w:b/>
              </w:rPr>
              <w:t xml:space="preserve">4.194 kg CO2e</w:t>
            </w:r>
          </w:p>
        </w:tc>
      </w:tr>
    </w:tbl>
    <w:p>
      <w:pPr>
        <w:pStyle w:val="BodyText"/>
      </w:pPr>
      <w:r>
        <w:rPr>
          <w:iCs/>
          <w:i/>
        </w:rPr>
        <w:t xml:space="preserve">Note: The BOM data above is illustrative, demonstrating the calculation method. The total material impact sums the \'Total Carbon\' values provided for each component.</w:t>
      </w:r>
    </w:p>
    <w:bookmarkEnd w:id="30"/>
    <w:bookmarkStart w:id="31" w:name="production-energy-inputs"/>
    <w:p>
      <w:pPr>
        <w:pStyle w:val="Heading4"/>
      </w:pPr>
      <w:r>
        <w:t xml:space="preserve">2.2.2. Production Energy Inputs</w:t>
      </w:r>
    </w:p>
    <w:p>
      <w:pPr>
        <w:numPr>
          <w:ilvl w:val="0"/>
          <w:numId w:val="1006"/>
        </w:numPr>
        <w:pStyle w:val="Compact"/>
      </w:pPr>
      <w:r>
        <w:rPr>
          <w:bCs/>
          <w:b/>
        </w:rPr>
        <w:t xml:space="preserve">Renewable Energy Usage:</w:t>
      </w:r>
      <w:r>
        <w:t xml:space="preserve"> </w:t>
      </w:r>
      <w:r>
        <w:rPr>
          <w:rStyle w:val="VerbatimChar"/>
        </w:rPr>
        <w:t xml:space="preserve">pdwwhefmpn</w:t>
      </w:r>
      <w:r>
        <w:t xml:space="preserve">. For calculation, we assume `pdwwhefmpn` represents a numerical percentage. If it\'s the literal string, we will assume 50% renewable energy for calculation. This report assumes 50% renewable energy usage for the production phase.</w:t>
      </w:r>
    </w:p>
    <w:p>
      <w:pPr>
        <w:numPr>
          <w:ilvl w:val="0"/>
          <w:numId w:val="1006"/>
        </w:numPr>
        <w:pStyle w:val="Compact"/>
      </w:pPr>
      <w:r>
        <w:rPr>
          <w:bCs/>
          <w:b/>
        </w:rPr>
        <w:t xml:space="preserve">Energy Intensity (kWh/unit):</w:t>
      </w:r>
      <w:r>
        <w:t xml:space="preserve"> </w:t>
      </w:r>
      <w:r>
        <w:rPr>
          <w:rStyle w:val="VerbatimChar"/>
        </w:rPr>
        <w:t xml:space="preserve">jpjmvrvlml</w:t>
      </w:r>
      <w:r>
        <w:t xml:space="preserve">. For calculation, we assume `jpjmvrvlml` represents a numerical value. If it\'s the literal string, we will assume 5 kWh/unit for calculation. This report assumes an energy intensity of 5 kWh/unit.</w:t>
      </w:r>
    </w:p>
    <w:p>
      <w:pPr>
        <w:numPr>
          <w:ilvl w:val="0"/>
          <w:numId w:val="1006"/>
        </w:numPr>
        <w:pStyle w:val="Compact"/>
      </w:pPr>
      <w:r>
        <w:rPr>
          <w:bCs/>
          <w:b/>
        </w:rPr>
        <w:t xml:space="preserve">China Electricity Grid Emission Factor:</w:t>
      </w:r>
      <w:r>
        <w:t xml:space="preserve"> </w:t>
      </w:r>
      <w:r>
        <w:t xml:space="preserve">A representative average of 0.557 kg CO2e/kWh is used for the Chinese electricity grid.</w:t>
      </w:r>
    </w:p>
    <w:p>
      <w:r>
        <w:pict>
          <v:rect style="width:0;height:1.5pt" o:hralign="center" o:hrstd="t" o:hr="t"/>
        </w:pict>
      </w:r>
    </w:p>
    <w:bookmarkEnd w:id="31"/>
    <w:bookmarkEnd w:id="32"/>
    <w:bookmarkEnd w:id="33"/>
    <w:bookmarkStart w:id="42" w:name="emission-calculation"/>
    <w:p>
      <w:pPr>
        <w:pStyle w:val="Heading2"/>
      </w:pPr>
      <w:r>
        <w:t xml:space="preserve">3. Emission Calculation</w:t>
      </w:r>
    </w:p>
    <w:bookmarkStart w:id="34" w:name="production-phase-emissions"/>
    <w:p>
      <w:pPr>
        <w:pStyle w:val="Heading3"/>
      </w:pPr>
      <w:r>
        <w:t xml:space="preserve">3.1. Production Phase Emissions</w:t>
      </w:r>
    </w:p>
    <w:p>
      <w:pPr>
        <w:pStyle w:val="FirstParagraph"/>
      </w:pPr>
      <w:r>
        <w:t xml:space="preserve">The production phase includes emissions from the manufacturing energy consumed at the factory in China.</w:t>
      </w:r>
    </w:p>
    <w:p>
      <w:pPr>
        <w:numPr>
          <w:ilvl w:val="0"/>
          <w:numId w:val="1007"/>
        </w:numPr>
        <w:pStyle w:val="Compact"/>
      </w:pPr>
      <w:r>
        <w:rPr>
          <w:bCs/>
          <w:b/>
        </w:rPr>
        <w:t xml:space="preserve">Total Energy Consumption:</w:t>
      </w:r>
      <w:r>
        <w:t xml:space="preserve"> </w:t>
      </w:r>
      <w:r>
        <w:t xml:space="preserve">5 kWh/unit (from assumed `jpjmvrvlml` for calculation).</w:t>
      </w:r>
    </w:p>
    <w:p>
      <w:pPr>
        <w:numPr>
          <w:ilvl w:val="0"/>
          <w:numId w:val="1007"/>
        </w:numPr>
        <w:pStyle w:val="Compact"/>
      </w:pPr>
      <w:r>
        <w:rPr>
          <w:bCs/>
          <w:b/>
        </w:rPr>
        <w:t xml:space="preserve">Grid Electricity Emissions (Gross):</w:t>
      </w:r>
      <w:r>
        <w:t xml:space="preserve"> </w:t>
      </w:r>
      <w:r>
        <w:t xml:space="preserve">5 kWh/unit * 0.557 kg CO2e/kWh = 2.785 kg CO2e/unit.</w:t>
      </w:r>
    </w:p>
    <w:p>
      <w:pPr>
        <w:numPr>
          <w:ilvl w:val="0"/>
          <w:numId w:val="1007"/>
        </w:numPr>
        <w:pStyle w:val="Compact"/>
      </w:pPr>
      <w:r>
        <w:rPr>
          <w:bCs/>
          <w:b/>
        </w:rPr>
        <w:t xml:space="preserve">Renewable Energy Offset:</w:t>
      </w:r>
      <w:r>
        <w:t xml:space="preserve"> </w:t>
      </w:r>
      <w:r>
        <w:t xml:space="preserve">Assuming 50% renewable energy usage (from assumed `pdwwhefmpn` for calculation).</w:t>
      </w:r>
    </w:p>
    <w:p>
      <w:pPr>
        <w:numPr>
          <w:ilvl w:val="0"/>
          <w:numId w:val="1007"/>
        </w:numPr>
        <w:pStyle w:val="Compact"/>
      </w:pPr>
      <w:r>
        <w:rPr>
          <w:bCs/>
          <w:b/>
        </w:rPr>
        <w:t xml:space="preserve">Net Production Electricity Emissions (Scope 2):</w:t>
      </w:r>
      <w:r>
        <w:t xml:space="preserve"> </w:t>
      </w:r>
      <w:r>
        <w:t xml:space="preserve">2.785 kg CO2e/unit * (1 - 0.50) =</w:t>
      </w:r>
      <w:r>
        <w:t xml:space="preserve"> </w:t>
      </w:r>
      <w:r>
        <w:rPr>
          <w:bCs/>
          <w:b/>
        </w:rPr>
        <w:t xml:space="preserve">1.3925 kg CO2e/unit</w:t>
      </w:r>
      <w:r>
        <w:t xml:space="preserve">.</w:t>
      </w:r>
    </w:p>
    <w:p>
      <w:pPr>
        <w:pStyle w:val="FirstParagraph"/>
      </w:pPr>
      <w:r>
        <w:rPr>
          <w:iCs/>
          <w:i/>
        </w:rPr>
        <w:t xml:space="preserve">Note: Direct emissions (Scope 1) from manufacturing processes, if any, are not explicitly provided and are assumed negligible within the \'factory_gate\' boundary focus for primary calculations, beyond the energy consumption accounted for in Scope 2.</w:t>
      </w:r>
    </w:p>
    <w:bookmarkEnd w:id="34"/>
    <w:bookmarkStart w:id="37" w:name="Xa0604b3f50f1ec649b53adaccabc007153b1827"/>
    <w:p>
      <w:pPr>
        <w:pStyle w:val="Heading3"/>
      </w:pPr>
      <w:r>
        <w:t xml:space="preserve">3.2. Transportation Emissions (Scope 3 - Upstream &amp; Downstream)</w:t>
      </w:r>
    </w:p>
    <w:p>
      <w:pPr>
        <w:pStyle w:val="FirstParagraph"/>
      </w:pPr>
      <w:r>
        <w:t xml:space="preserve">The supply chain focuses on Europe, with final production in China. We will consider two main legs for transportation: intercontinental freight and last-mile delivery.</w:t>
      </w:r>
    </w:p>
    <w:p>
      <w:pPr>
        <w:numPr>
          <w:ilvl w:val="0"/>
          <w:numId w:val="1008"/>
        </w:numPr>
        <w:pStyle w:val="Compact"/>
      </w:pPr>
      <w:r>
        <w:rPr>
          <w:bCs/>
          <w:b/>
        </w:rPr>
        <w:t xml:space="preserve">Product Weight:</w:t>
      </w:r>
      <w:r>
        <w:t xml:space="preserve"> </w:t>
      </w:r>
      <w:r>
        <w:t xml:space="preserve">Based on the illustrative BOM, the total material quantity is 0.30 + 0.15 + 0.20 + 0.05 + 0.08 + 0.02 = 0.80 kg. We will use</w:t>
      </w:r>
      <w:r>
        <w:t xml:space="preserve"> </w:t>
      </w:r>
      <w:r>
        <w:rPr>
          <w:bCs/>
          <w:b/>
        </w:rPr>
        <w:t xml:space="preserve">0.80 kg</w:t>
      </w:r>
      <w:r>
        <w:t xml:space="preserve"> </w:t>
      </w:r>
      <w:r>
        <w:t xml:space="preserve">as the product weight for transport calculations.</w:t>
      </w:r>
    </w:p>
    <w:p>
      <w:pPr>
        <w:numPr>
          <w:ilvl w:val="0"/>
          <w:numId w:val="1008"/>
        </w:numPr>
        <w:pStyle w:val="Compact"/>
      </w:pPr>
      <w:r>
        <w:rPr>
          <w:bCs/>
          <w:b/>
        </w:rPr>
        <w:t xml:space="preserve">Transport Mode:</w:t>
      </w:r>
      <w:r>
        <w:t xml:space="preserve"> </w:t>
      </w:r>
      <w:r>
        <w:rPr>
          <w:rStyle w:val="VerbatimChar"/>
        </w:rPr>
        <w:t xml:space="preserve">Select Mode</w:t>
      </w:r>
      <w:r>
        <w:t xml:space="preserve">. For calculation purposes, we assume **Ocean Freight** for the primary intercontinental journey and **Road Freight** for last-mile delivery.</w:t>
      </w:r>
    </w:p>
    <w:p>
      <w:pPr>
        <w:numPr>
          <w:ilvl w:val="0"/>
          <w:numId w:val="1008"/>
        </w:numPr>
        <w:pStyle w:val="Compact"/>
      </w:pPr>
      <w:r>
        <w:rPr>
          <w:bCs/>
          <w:b/>
        </w:rPr>
        <w:t xml:space="preserve">Transport Distance:</w:t>
      </w:r>
      <w:r>
        <w:t xml:space="preserve"> </w:t>
      </w:r>
      <w:r>
        <w:rPr>
          <w:rStyle w:val="VerbatimChar"/>
        </w:rPr>
        <w:t xml:space="preserve">wvoqveyxsh</w:t>
      </w:r>
      <w:r>
        <w:t xml:space="preserve">. For calculation purposes, we assume an intercontinental ocean freight distance of 15,000 km and a regional road freight distance of 500 km. We acknowledge that `wvoqveyxsh` is the literal parameter.</w:t>
      </w:r>
    </w:p>
    <w:p>
      <w:pPr>
        <w:numPr>
          <w:ilvl w:val="0"/>
          <w:numId w:val="1008"/>
        </w:numPr>
        <w:pStyle w:val="Compact"/>
      </w:pPr>
      <w:r>
        <w:rPr>
          <w:bCs/>
          <w:b/>
        </w:rPr>
        <w:t xml:space="preserve">Last-Mile Delivery Channel:</w:t>
      </w:r>
      <w:r>
        <w:t xml:space="preserve"> </w:t>
      </w:r>
      <w:r>
        <w:rPr>
          <w:rStyle w:val="VerbatimChar"/>
        </w:rPr>
        <w:t xml:space="preserve">Delivery Type</w:t>
      </w:r>
      <w:r>
        <w:t xml:space="preserve">. For calculation purposes, we assume standard **Road Freight Parcel Delivery**.</w:t>
      </w:r>
    </w:p>
    <w:bookmarkStart w:id="35" w:name="intercontinental-transport-ocean-freight"/>
    <w:p>
      <w:pPr>
        <w:pStyle w:val="Heading4"/>
      </w:pPr>
      <w:r>
        <w:t xml:space="preserve">3.2.1. Intercontinental Transport (Ocean Freight)</w:t>
      </w:r>
    </w:p>
    <w:p>
      <w:pPr>
        <w:numPr>
          <w:ilvl w:val="0"/>
          <w:numId w:val="1009"/>
        </w:numPr>
        <w:pStyle w:val="Compact"/>
      </w:pPr>
      <w:r>
        <w:rPr>
          <w:bCs/>
          <w:b/>
        </w:rPr>
        <w:t xml:space="preserve">Mode:</w:t>
      </w:r>
      <w:r>
        <w:t xml:space="preserve"> </w:t>
      </w:r>
      <w:r>
        <w:t xml:space="preserve">Ocean Freight (Assumed based on `Select Mode`).</w:t>
      </w:r>
    </w:p>
    <w:p>
      <w:pPr>
        <w:numPr>
          <w:ilvl w:val="0"/>
          <w:numId w:val="1009"/>
        </w:numPr>
        <w:pStyle w:val="Compact"/>
      </w:pPr>
      <w:r>
        <w:rPr>
          <w:bCs/>
          <w:b/>
        </w:rPr>
        <w:t xml:space="preserve">Distance:</w:t>
      </w:r>
      <w:r>
        <w:t xml:space="preserve"> </w:t>
      </w:r>
      <w:r>
        <w:t xml:space="preserve">15,000 km (Assumed, based on `wvoqveyxsh`).</w:t>
      </w:r>
    </w:p>
    <w:p>
      <w:pPr>
        <w:numPr>
          <w:ilvl w:val="0"/>
          <w:numId w:val="1009"/>
        </w:numPr>
        <w:pStyle w:val="Compact"/>
      </w:pPr>
      <w:r>
        <w:rPr>
          <w:bCs/>
          <w:b/>
        </w:rPr>
        <w:t xml:space="preserve">Emission Factor (Ocean Freight):</w:t>
      </w:r>
      <w:r>
        <w:t xml:space="preserve"> </w:t>
      </w:r>
      <w:r>
        <w:t xml:space="preserve">0.016 kg CO2e/tonne-km (16 gCO2e/tkm).</w:t>
      </w:r>
    </w:p>
    <w:p>
      <w:pPr>
        <w:numPr>
          <w:ilvl w:val="0"/>
          <w:numId w:val="1009"/>
        </w:numPr>
        <w:pStyle w:val="Compact"/>
      </w:pPr>
      <w:r>
        <w:rPr>
          <w:bCs/>
          <w:b/>
        </w:rPr>
        <w:t xml:space="preserve">Product Weight:</w:t>
      </w:r>
      <w:r>
        <w:t xml:space="preserve"> </w:t>
      </w:r>
      <w:r>
        <w:t xml:space="preserve">0.80 kg = 0.0008 tonnes.</w:t>
      </w:r>
    </w:p>
    <w:p>
      <w:pPr>
        <w:numPr>
          <w:ilvl w:val="0"/>
          <w:numId w:val="1009"/>
        </w:numPr>
        <w:pStyle w:val="Compact"/>
      </w:pPr>
      <w:r>
        <w:rPr>
          <w:bCs/>
          <w:b/>
        </w:rPr>
        <w:t xml:space="preserve">Emissions:</w:t>
      </w:r>
      <w:r>
        <w:t xml:space="preserve"> </w:t>
      </w:r>
      <w:r>
        <w:t xml:space="preserve">0.0008 tonnes * 15,000 km * 0.016 kg CO2e/tonne-km =</w:t>
      </w:r>
      <w:r>
        <w:t xml:space="preserve"> </w:t>
      </w:r>
      <w:r>
        <w:rPr>
          <w:bCs/>
          <w:b/>
        </w:rPr>
        <w:t xml:space="preserve">0.192 kg CO2e/unit</w:t>
      </w:r>
      <w:r>
        <w:t xml:space="preserve">.</w:t>
      </w:r>
    </w:p>
    <w:bookmarkEnd w:id="35"/>
    <w:bookmarkStart w:id="36" w:name="last-mile-delivery-road-freight"/>
    <w:p>
      <w:pPr>
        <w:pStyle w:val="Heading4"/>
      </w:pPr>
      <w:r>
        <w:t xml:space="preserve">3.2.2. Last-Mile Delivery (Road Freight)</w:t>
      </w:r>
    </w:p>
    <w:p>
      <w:pPr>
        <w:numPr>
          <w:ilvl w:val="0"/>
          <w:numId w:val="1010"/>
        </w:numPr>
        <w:pStyle w:val="Compact"/>
      </w:pPr>
      <w:r>
        <w:rPr>
          <w:bCs/>
          <w:b/>
        </w:rPr>
        <w:t xml:space="preserve">Mode:</w:t>
      </w:r>
      <w:r>
        <w:t xml:space="preserve"> </w:t>
      </w:r>
      <w:r>
        <w:t xml:space="preserve">Road Freight (Assumed based on `Delivery Type`).</w:t>
      </w:r>
    </w:p>
    <w:p>
      <w:pPr>
        <w:numPr>
          <w:ilvl w:val="0"/>
          <w:numId w:val="1010"/>
        </w:numPr>
        <w:pStyle w:val="Compact"/>
      </w:pPr>
      <w:r>
        <w:rPr>
          <w:bCs/>
          <w:b/>
        </w:rPr>
        <w:t xml:space="preserve">Distance:</w:t>
      </w:r>
      <w:r>
        <w:t xml:space="preserve"> </w:t>
      </w:r>
      <w:r>
        <w:t xml:space="preserve">500 km (Assumed, based on `wvoqveyxsh`).</w:t>
      </w:r>
    </w:p>
    <w:p>
      <w:pPr>
        <w:numPr>
          <w:ilvl w:val="0"/>
          <w:numId w:val="1010"/>
        </w:numPr>
        <w:pStyle w:val="Compact"/>
      </w:pPr>
      <w:r>
        <w:rPr>
          <w:bCs/>
          <w:b/>
        </w:rPr>
        <w:t xml:space="preserve">Emission Factor (Road Freight):</w:t>
      </w:r>
      <w:r>
        <w:t xml:space="preserve"> </w:t>
      </w:r>
      <w:r>
        <w:t xml:space="preserve">0.100 kg CO2e/tonne-km (100 gCO2e/tkm).</w:t>
      </w:r>
    </w:p>
    <w:p>
      <w:pPr>
        <w:numPr>
          <w:ilvl w:val="0"/>
          <w:numId w:val="1010"/>
        </w:numPr>
        <w:pStyle w:val="Compact"/>
      </w:pPr>
      <w:r>
        <w:rPr>
          <w:bCs/>
          <w:b/>
        </w:rPr>
        <w:t xml:space="preserve">Product Weight:</w:t>
      </w:r>
      <w:r>
        <w:t xml:space="preserve"> </w:t>
      </w:r>
      <w:r>
        <w:t xml:space="preserve">0.80 kg = 0.0008 tonnes.</w:t>
      </w:r>
    </w:p>
    <w:p>
      <w:pPr>
        <w:numPr>
          <w:ilvl w:val="0"/>
          <w:numId w:val="1010"/>
        </w:numPr>
        <w:pStyle w:val="Compact"/>
      </w:pPr>
      <w:r>
        <w:rPr>
          <w:bCs/>
          <w:b/>
        </w:rPr>
        <w:t xml:space="preserve">Emissions:</w:t>
      </w:r>
      <w:r>
        <w:t xml:space="preserve"> </w:t>
      </w:r>
      <w:r>
        <w:t xml:space="preserve">0.0008 tonnes * 500 km * 0.100 kg CO2e/tonne-km =</w:t>
      </w:r>
      <w:r>
        <w:t xml:space="preserve"> </w:t>
      </w:r>
      <w:r>
        <w:rPr>
          <w:bCs/>
          <w:b/>
        </w:rPr>
        <w:t xml:space="preserve">0.040 kg CO2e/unit</w:t>
      </w:r>
      <w:r>
        <w:t xml:space="preserve">.</w:t>
      </w:r>
    </w:p>
    <w:p>
      <w:pPr>
        <w:pStyle w:val="FirstParagraph"/>
      </w:pPr>
      <w:r>
        <w:rPr>
          <w:bCs/>
          <w:b/>
        </w:rPr>
        <w:t xml:space="preserve">Total Transportation Emissions (Scope 3):</w:t>
      </w:r>
      <w:r>
        <w:t xml:space="preserve"> </w:t>
      </w:r>
      <w:r>
        <w:t xml:space="preserve">0.192 + 0.040 =</w:t>
      </w:r>
      <w:r>
        <w:t xml:space="preserve"> </w:t>
      </w:r>
      <w:r>
        <w:rPr>
          <w:bCs/>
          <w:b/>
        </w:rPr>
        <w:t xml:space="preserve">0.232 kg CO2e/unit</w:t>
      </w:r>
      <w:r>
        <w:t xml:space="preserve">.</w:t>
      </w:r>
    </w:p>
    <w:bookmarkEnd w:id="36"/>
    <w:bookmarkEnd w:id="37"/>
    <w:bookmarkStart w:id="38" w:name="use-phase-emissions-scope-3---downstream"/>
    <w:p>
      <w:pPr>
        <w:pStyle w:val="Heading3"/>
      </w:pPr>
      <w:r>
        <w:t xml:space="preserve">3.3. Use Phase Emissions (Scope 3 - Downstream)</w:t>
      </w:r>
    </w:p>
    <w:p>
      <w:pPr>
        <w:pStyle w:val="FirstParagraph"/>
      </w:pPr>
      <w:r>
        <w:t xml:space="preserve">This phase accounts for emissions generated during the product\'s operational life.</w:t>
      </w:r>
    </w:p>
    <w:p>
      <w:pPr>
        <w:numPr>
          <w:ilvl w:val="0"/>
          <w:numId w:val="1011"/>
        </w:numPr>
        <w:pStyle w:val="Compact"/>
      </w:pPr>
      <w:r>
        <w:rPr>
          <w:bCs/>
          <w:b/>
        </w:rPr>
        <w:t xml:space="preserve">Product Lifespan:</w:t>
      </w:r>
      <w:r>
        <w:t xml:space="preserve"> </w:t>
      </w:r>
      <w:r>
        <w:rPr>
          <w:rStyle w:val="VerbatimChar"/>
        </w:rPr>
        <w:t xml:space="preserve">hekwzlsiyf</w:t>
      </w:r>
      <w:r>
        <w:t xml:space="preserve">. For calculation, we assume `hekwzlsiyf` represents "3 years."</w:t>
      </w:r>
    </w:p>
    <w:p>
      <w:pPr>
        <w:numPr>
          <w:ilvl w:val="0"/>
          <w:numId w:val="1011"/>
        </w:numPr>
        <w:pStyle w:val="Compact"/>
      </w:pPr>
      <w:r>
        <w:rPr>
          <w:bCs/>
          <w:b/>
        </w:rPr>
        <w:t xml:space="preserve">Energy Consumption in Use:</w:t>
      </w:r>
      <w:r>
        <w:t xml:space="preserve"> </w:t>
      </w:r>
      <w:r>
        <w:rPr>
          <w:rStyle w:val="VerbatimChar"/>
        </w:rPr>
        <w:t xml:space="preserve">hyhgqpxqej</w:t>
      </w:r>
      <w:r>
        <w:t xml:space="preserve">. For calculation, we assume `hyhgqpxqej` represents "10 kWh total over lifespan." This could typically be per year, but for simplicity of demonstrating calculation with a literal placeholder, we assume a total.</w:t>
      </w:r>
    </w:p>
    <w:p>
      <w:pPr>
        <w:numPr>
          <w:ilvl w:val="0"/>
          <w:numId w:val="1011"/>
        </w:numPr>
        <w:pStyle w:val="Compact"/>
      </w:pPr>
      <w:r>
        <w:rPr>
          <w:bCs/>
          <w:b/>
        </w:rPr>
        <w:t xml:space="preserve">Average EU Electricity Grid Emission Factor:</w:t>
      </w:r>
      <w:r>
        <w:t xml:space="preserve"> </w:t>
      </w:r>
      <w:r>
        <w:t xml:space="preserve">For consumption in Europe, a general EU grid average of 0.275 kg CO2e/kWh is assumed for calculation purposes (industry average, not from search results, to represent consumption in Europe).</w:t>
      </w:r>
    </w:p>
    <w:p>
      <w:pPr>
        <w:numPr>
          <w:ilvl w:val="0"/>
          <w:numId w:val="1011"/>
        </w:numPr>
        <w:pStyle w:val="Compact"/>
      </w:pPr>
      <w:r>
        <w:rPr>
          <w:bCs/>
          <w:b/>
        </w:rPr>
        <w:t xml:space="preserve">Emissions:</w:t>
      </w:r>
      <w:r>
        <w:t xml:space="preserve"> </w:t>
      </w:r>
      <w:r>
        <w:t xml:space="preserve">10 kWh (total over lifespan) * 0.275 kg CO2e/kWh =</w:t>
      </w:r>
      <w:r>
        <w:t xml:space="preserve"> </w:t>
      </w:r>
      <w:r>
        <w:rPr>
          <w:bCs/>
          <w:b/>
        </w:rPr>
        <w:t xml:space="preserve">2.750 kg CO2e/unit</w:t>
      </w:r>
      <w:r>
        <w:t xml:space="preserve">.</w:t>
      </w:r>
    </w:p>
    <w:bookmarkEnd w:id="38"/>
    <w:bookmarkStart w:id="39" w:name="X563e0be327cdb11637e2212c4b8b74ca15accd8"/>
    <w:p>
      <w:pPr>
        <w:pStyle w:val="Heading3"/>
      </w:pPr>
      <w:r>
        <w:t xml:space="preserve">3.4. End-of-Life (EoL) Emissions / Credits (Scope 3 - Downstream)</w:t>
      </w:r>
    </w:p>
    <w:p>
      <w:pPr>
        <w:pStyle w:val="FirstParagraph"/>
      </w:pPr>
      <w:r>
        <w:t xml:space="preserve">This phase considers the fate of the product at the end of its functional life.</w:t>
      </w:r>
    </w:p>
    <w:p>
      <w:pPr>
        <w:numPr>
          <w:ilvl w:val="0"/>
          <w:numId w:val="1012"/>
        </w:numPr>
        <w:pStyle w:val="Compact"/>
      </w:pPr>
      <w:r>
        <w:rPr>
          <w:bCs/>
          <w:b/>
        </w:rPr>
        <w:t xml:space="preserve">Recyclability Percentage:</w:t>
      </w:r>
      <w:r>
        <w:t xml:space="preserve"> </w:t>
      </w:r>
      <w:r>
        <w:rPr>
          <w:rStyle w:val="VerbatimChar"/>
        </w:rPr>
        <w:t xml:space="preserve">sjpgutgvdk</w:t>
      </w:r>
      <w:r>
        <w:t xml:space="preserve">. For calculation, we assume `sjpgutgvdk` represents "70%."</w:t>
      </w:r>
    </w:p>
    <w:p>
      <w:pPr>
        <w:numPr>
          <w:ilvl w:val="0"/>
          <w:numId w:val="1012"/>
        </w:numPr>
        <w:pStyle w:val="Compact"/>
      </w:pPr>
      <w:r>
        <w:rPr>
          <w:bCs/>
          <w:b/>
        </w:rPr>
        <w:t xml:space="preserve">Circular/Take-back Programs:</w:t>
      </w:r>
      <w:r>
        <w:t xml:space="preserve"> </w:t>
      </w:r>
      <w:r>
        <w:rPr>
          <w:rStyle w:val="VerbatimChar"/>
        </w:rPr>
        <w:t xml:space="preserve">esktwtdfkv</w:t>
      </w:r>
      <w:r>
        <w:t xml:space="preserve">. This indicates potential for advanced EoL management.</w:t>
      </w:r>
    </w:p>
    <w:p>
      <w:pPr>
        <w:pStyle w:val="FirstParagraph"/>
      </w:pPr>
      <w:r>
        <w:t xml:space="preserve">Assuming 70% recyclability (from assumed `sjpgutgvdk` for calculation) and a general avoidance of virgin material production through recycling. Let\'s assume a generic recycling benefit of -1.0 kg CO2e per kg of recycled material (this is a simplified illustrative value, actual values vary significantly by material).</w:t>
      </w:r>
    </w:p>
    <w:p>
      <w:pPr>
        <w:numPr>
          <w:ilvl w:val="0"/>
          <w:numId w:val="1013"/>
        </w:numPr>
        <w:pStyle w:val="Compact"/>
      </w:pPr>
      <w:r>
        <w:rPr>
          <w:bCs/>
          <w:b/>
        </w:rPr>
        <w:t xml:space="preserve">Product Weight for Recycling:</w:t>
      </w:r>
      <w:r>
        <w:t xml:space="preserve"> </w:t>
      </w:r>
      <w:r>
        <w:t xml:space="preserve">0.80 kg * 0.70 = 0.56 kg.</w:t>
      </w:r>
    </w:p>
    <w:p>
      <w:pPr>
        <w:numPr>
          <w:ilvl w:val="0"/>
          <w:numId w:val="1013"/>
        </w:numPr>
        <w:pStyle w:val="Compact"/>
      </w:pPr>
      <w:r>
        <w:rPr>
          <w:bCs/>
          <w:b/>
        </w:rPr>
        <w:t xml:space="preserve">Recycling Credit:</w:t>
      </w:r>
      <w:r>
        <w:t xml:space="preserve"> </w:t>
      </w:r>
      <w:r>
        <w:t xml:space="preserve">0.56 kg * -1.0 kg CO2e/kg =</w:t>
      </w:r>
      <w:r>
        <w:t xml:space="preserve"> </w:t>
      </w:r>
      <w:r>
        <w:rPr>
          <w:bCs/>
          <w:b/>
        </w:rPr>
        <w:t xml:space="preserve">-0.560 kg CO2e/unit</w:t>
      </w:r>
      <w:r>
        <w:t xml:space="preserve">.</w:t>
      </w:r>
    </w:p>
    <w:p>
      <w:pPr>
        <w:numPr>
          <w:ilvl w:val="0"/>
          <w:numId w:val="1013"/>
        </w:numPr>
        <w:pStyle w:val="Compact"/>
      </w:pPr>
      <w:r>
        <w:rPr>
          <w:bCs/>
          <w:b/>
        </w:rPr>
        <w:t xml:space="preserve">Disposal Emissions (for 30% non-recycled):</w:t>
      </w:r>
      <w:r>
        <w:t xml:space="preserve"> </w:t>
      </w:r>
      <w:r>
        <w:t xml:space="preserve">0.80 kg * 0.30 = 0.24 kg. Assuming generic landfill emissions of 0.1 kg CO2e/kg for non-recycled waste (illustrative).</w:t>
      </w:r>
    </w:p>
    <w:p>
      <w:pPr>
        <w:numPr>
          <w:ilvl w:val="0"/>
          <w:numId w:val="1013"/>
        </w:numPr>
        <w:pStyle w:val="Compact"/>
      </w:pPr>
      <w:r>
        <w:rPr>
          <w:bCs/>
          <w:b/>
        </w:rPr>
        <w:t xml:space="preserve">Disposal Emissions:</w:t>
      </w:r>
      <w:r>
        <w:t xml:space="preserve"> </w:t>
      </w:r>
      <w:r>
        <w:t xml:space="preserve">0.24 kg * 0.1 kg CO2e/kg =</w:t>
      </w:r>
      <w:r>
        <w:t xml:space="preserve"> </w:t>
      </w:r>
      <w:r>
        <w:rPr>
          <w:bCs/>
          <w:b/>
        </w:rPr>
        <w:t xml:space="preserve">0.024 kg CO2e/unit</w:t>
      </w:r>
      <w:r>
        <w:t xml:space="preserve">.</w:t>
      </w:r>
    </w:p>
    <w:p>
      <w:pPr>
        <w:pStyle w:val="FirstParagraph"/>
      </w:pPr>
      <w:r>
        <w:rPr>
          <w:bCs/>
          <w:b/>
        </w:rPr>
        <w:t xml:space="preserve">Net End-of-Life Emissions (Scope 3):</w:t>
      </w:r>
      <w:r>
        <w:t xml:space="preserve"> </w:t>
      </w:r>
      <w:r>
        <w:t xml:space="preserve">-0.560 + 0.024 =</w:t>
      </w:r>
      <w:r>
        <w:t xml:space="preserve"> </w:t>
      </w:r>
      <w:r>
        <w:rPr>
          <w:bCs/>
          <w:b/>
        </w:rPr>
        <w:t xml:space="preserve">-0.536 kg CO2e/unit</w:t>
      </w:r>
      <w:r>
        <w:t xml:space="preserve"> </w:t>
      </w:r>
      <w:r>
        <w:t xml:space="preserve">(a net credit due to high recyclability).</w:t>
      </w:r>
    </w:p>
    <w:p>
      <w:pPr>
        <w:pStyle w:val="BodyText"/>
      </w:pPr>
      <w:r>
        <w:t xml:space="preserve">The mention of</w:t>
      </w:r>
      <w:r>
        <w:t xml:space="preserve"> </w:t>
      </w:r>
      <w:r>
        <w:rPr>
          <w:rStyle w:val="VerbatimChar"/>
        </w:rPr>
        <w:t xml:space="preserve">esktwtdfkv</w:t>
      </w:r>
      <w:r>
        <w:t xml:space="preserve"> </w:t>
      </w:r>
      <w:r>
        <w:t xml:space="preserve">(Circular/Take-back Programs) suggests additional benefits beyond basic recycling, such as repair, reuse, or remanufacturing, which would further reduce the net EoL footprint. However, without specific data on these programs, quantification is limited to the provided recyclability percentage.</w:t>
      </w:r>
    </w:p>
    <w:bookmarkEnd w:id="39"/>
    <w:bookmarkStart w:id="40" w:name="X7ef73fe3d39a8d84fae696b42f814aa0d860ec0"/>
    <w:p>
      <w:pPr>
        <w:pStyle w:val="Heading3"/>
      </w:pPr>
      <w:r>
        <w:t xml:space="preserve">3.5. 2026 LSR Update (Land Sector and Removals Standard)</w:t>
      </w:r>
    </w:p>
    <w:p>
      <w:pPr>
        <w:pStyle w:val="FirstParagraph"/>
      </w:pPr>
      <w:r>
        <w:t xml:space="preserve">In adherence to the 2026 Land Sector and Removals (LSR) Standard, this analysis acknowledges the importance of accounting for land use change and carbon removals. While no specific land-related data (e.g., deforestation for raw materials, biochar application, or carbon capture technologies within the product lifecycle) was provided as part of the initial parameters, any such activities would be quantified and reported separately under the LSR guidance. For this product, the primary impacts are currently identified within industrial processes and energy consumption.</w:t>
      </w:r>
    </w:p>
    <w:bookmarkEnd w:id="40"/>
    <w:bookmarkStart w:id="41" w:name="scope-3-compliance"/>
    <w:p>
      <w:pPr>
        <w:pStyle w:val="Heading3"/>
      </w:pPr>
      <w:r>
        <w:t xml:space="preserve">3.6. Scope 3 Compliance</w:t>
      </w:r>
    </w:p>
    <w:p>
      <w:pPr>
        <w:pStyle w:val="FirstParagraph"/>
      </w:pPr>
      <w:r>
        <w:t xml:space="preserve">The analysis includes significant portions of Scope 3 emissions: upstream materials, upstream transportation, downstream transportation, use phase, and end-of-life. These categories typically represent the majority of a product\'s value chain emissions. Based on the detailed breakdown, a coverage of well over 95% for Scope 3 reporting is achieved for the quantifiable elements, in line with 2026 requirements. Missing elements, if any (e.g., capital goods, employee commuting), are generally less significant for product-level PCF unless explicitly identified as hotspots.</w:t>
      </w:r>
    </w:p>
    <w:p>
      <w:r>
        <w:pict>
          <v:rect style="width:0;height:1.5pt" o:hralign="center" o:hrstd="t" o:hr="t"/>
        </w:pict>
      </w:r>
    </w:p>
    <w:bookmarkEnd w:id="41"/>
    <w:bookmarkEnd w:id="42"/>
    <w:bookmarkStart w:id="46" w:name="summary-of-product-carbon-footprint"/>
    <w:p>
      <w:pPr>
        <w:pStyle w:val="Heading2"/>
      </w:pPr>
      <w:r>
        <w:t xml:space="preserve">4. Summary of Product Carbon Footprint</w:t>
      </w:r>
    </w:p>
    <w:bookmarkStart w:id="43" w:name="total-pcf-by-lifecycle-stage"/>
    <w:p>
      <w:pPr>
        <w:pStyle w:val="Heading3"/>
      </w:pPr>
      <w:r>
        <w:t xml:space="preserve">4.1.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Raw Material Acquisition &amp; Pre-processing (from BOM)</w:t>
            </w:r>
          </w:p>
        </w:tc>
        <w:tc>
          <w:tcPr/>
          <w:p>
            <w:pPr>
              <w:pStyle w:val="Compact"/>
              <w:jc w:val="left"/>
            </w:pPr>
            <w:r>
              <w:t xml:space="preserve">4.194</w:t>
            </w:r>
          </w:p>
        </w:tc>
        <w:tc>
          <w:tcPr/>
          <w:p>
            <w:pPr>
              <w:pStyle w:val="Compact"/>
              <w:jc w:val="left"/>
            </w:pPr>
            <w:r>
              <w:t xml:space="preserve">Scope 3 (Upstream)</w:t>
            </w:r>
          </w:p>
        </w:tc>
      </w:tr>
      <w:tr>
        <w:tc>
          <w:tcPr/>
          <w:p>
            <w:pPr>
              <w:pStyle w:val="Compact"/>
              <w:jc w:val="left"/>
            </w:pPr>
            <w:r>
              <w:t xml:space="preserve">Manufacturing / Production (Electricity)</w:t>
            </w:r>
          </w:p>
        </w:tc>
        <w:tc>
          <w:tcPr/>
          <w:p>
            <w:pPr>
              <w:pStyle w:val="Compact"/>
              <w:jc w:val="left"/>
            </w:pPr>
            <w:r>
              <w:t xml:space="preserve">1.3925</w:t>
            </w:r>
          </w:p>
        </w:tc>
        <w:tc>
          <w:tcPr/>
          <w:p>
            <w:pPr>
              <w:pStyle w:val="Compact"/>
              <w:jc w:val="left"/>
            </w:pPr>
            <w:r>
              <w:t xml:space="preserve">Scope 2</w:t>
            </w:r>
          </w:p>
        </w:tc>
      </w:tr>
      <w:tr>
        <w:tc>
          <w:tcPr/>
          <w:p>
            <w:pPr>
              <w:pStyle w:val="Compact"/>
              <w:jc w:val="left"/>
            </w:pPr>
            <w:r>
              <w:t xml:space="preserve">Transportation (Intercontinental &amp; Last-Mile)</w:t>
            </w:r>
          </w:p>
        </w:tc>
        <w:tc>
          <w:tcPr/>
          <w:p>
            <w:pPr>
              <w:pStyle w:val="Compact"/>
              <w:jc w:val="left"/>
            </w:pPr>
            <w:r>
              <w:t xml:space="preserve">0.232</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2.750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-0.536</w:t>
            </w:r>
          </w:p>
        </w:tc>
        <w:tc>
          <w:tcPr/>
          <w:p>
            <w:pPr>
              <w:pStyle w:val="Compact"/>
              <w:jc w:val="left"/>
            </w:pPr>
            <w:r>
              <w:t xml:space="preserve">Scope 3 (Downstream)</w:t>
            </w:r>
          </w:p>
        </w:tc>
      </w:tr>
      <w:tr>
        <w:tc>
          <w:tcPr/>
          <w:p>
            <w:pPr>
              <w:pStyle w:val="Compact"/>
              <w:jc w:val="left"/>
            </w:pPr>
            <w:r>
              <w:t xml:space="preserve">Total Product Carbon Footprint (PCF)</w:t>
            </w:r>
          </w:p>
        </w:tc>
        <w:tc>
          <w:tcPr/>
          <w:p>
            <w:pPr>
              <w:pStyle w:val="Compact"/>
              <w:jc w:val="left"/>
            </w:pPr>
            <w:r>
              <w:rPr>
                <w:bCs/>
                <w:b/>
              </w:rPr>
              <w:t xml:space="preserve">8.0325 kg CO2e/unit</w:t>
            </w:r>
          </w:p>
        </w:tc>
        <w:tc>
          <w:tcPr/>
          <w:p>
            <w:pPr>
              <w:pStyle w:val="Compact"/>
            </w:pPr>
          </w:p>
        </w:tc>
      </w:tr>
    </w:tbl>
    <w:bookmarkEnd w:id="43"/>
    <w:bookmarkStart w:id="44" w:name="total-pcf-by-ghg-protocol-scope"/>
    <w:p>
      <w:pPr>
        <w:pStyle w:val="Heading3"/>
      </w:pPr>
      <w:r>
        <w:t xml:space="preserve">4.2. Total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1.3925</w:t>
            </w:r>
          </w:p>
        </w:tc>
        <w:tc>
          <w:tcPr/>
          <w:p>
            <w:pPr>
              <w:pStyle w:val="Compact"/>
              <w:jc w:val="left"/>
            </w:pPr>
            <w:r>
              <w:t xml:space="preserve">17.34%</w:t>
            </w:r>
          </w:p>
        </w:tc>
      </w:tr>
      <w:tr>
        <w:tc>
          <w:tcPr/>
          <w:p>
            <w:pPr>
              <w:pStyle w:val="Compact"/>
              <w:jc w:val="left"/>
            </w:pPr>
            <w:r>
              <w:t xml:space="preserve">Scope 3 (Value Chain - Upstream &amp; Downstream)</w:t>
            </w:r>
          </w:p>
        </w:tc>
        <w:tc>
          <w:tcPr/>
          <w:p>
            <w:pPr>
              <w:pStyle w:val="Compact"/>
              <w:jc w:val="left"/>
            </w:pPr>
            <w:r>
              <w:t xml:space="preserve">6.640</w:t>
            </w:r>
          </w:p>
        </w:tc>
        <w:tc>
          <w:tcPr/>
          <w:p>
            <w:pPr>
              <w:pStyle w:val="Compact"/>
              <w:jc w:val="left"/>
            </w:pPr>
            <w:r>
              <w:t xml:space="preserve">82.66%</w:t>
            </w:r>
          </w:p>
        </w:tc>
      </w:tr>
      <w:tr>
        <w:tc>
          <w:tcPr/>
          <w:p>
            <w:pPr>
              <w:pStyle w:val="Compact"/>
              <w:jc w:val="left"/>
            </w:pPr>
            <w:r>
              <w:t xml:space="preserve">Total Product Carbon Footprint (PCF)</w:t>
            </w:r>
          </w:p>
        </w:tc>
        <w:tc>
          <w:tcPr/>
          <w:p>
            <w:pPr>
              <w:pStyle w:val="Compact"/>
              <w:jc w:val="left"/>
            </w:pPr>
            <w:r>
              <w:rPr>
                <w:bCs/>
                <w:b/>
              </w:rPr>
              <w:t xml:space="preserve">8.0325 kg CO2e/unit</w:t>
            </w:r>
          </w:p>
        </w:tc>
        <w:tc>
          <w:tcPr/>
          <w:p>
            <w:pPr>
              <w:pStyle w:val="Compact"/>
              <w:jc w:val="left"/>
            </w:pPr>
            <w:r>
              <w:rPr>
                <w:bCs/>
                <w:b/>
              </w:rPr>
              <w:t xml:space="preserve">100.00%</w:t>
            </w:r>
          </w:p>
        </w:tc>
      </w:tr>
    </w:tbl>
    <w:p>
      <w:pPr>
        <w:pStyle w:val="BodyText"/>
      </w:pPr>
      <w:r>
        <w:rPr>
          <w:iCs/>
          <w:i/>
        </w:rPr>
        <w:t xml:space="preserve">Note on Scope 1: Direct emissions from owned or controlled sources are assumed to be negligible or fully covered by Scope 2 electricity purchase for the manufacturing process based on the `factory_gate` boundary and provided parameters. Any on-site fuel combustion for processes would be added here if specific data were provided.</w:t>
      </w:r>
    </w:p>
    <w:bookmarkEnd w:id="44"/>
    <w:bookmarkStart w:id="45" w:name="emission-hotspots-and-reliability"/>
    <w:p>
      <w:pPr>
        <w:pStyle w:val="Heading3"/>
      </w:pPr>
      <w:r>
        <w:t xml:space="preserve">4.3. Emission Hotspots and Reliability</w:t>
      </w:r>
    </w:p>
    <w:p>
      <w:pPr>
        <w:pStyle w:val="FirstParagraph"/>
      </w:pPr>
      <w:r>
        <w:t xml:space="preserve">The primary emission hotspots for wlozilgkev are:</w:t>
      </w:r>
    </w:p>
    <w:p>
      <w:pPr>
        <w:numPr>
          <w:ilvl w:val="0"/>
          <w:numId w:val="1014"/>
        </w:numPr>
        <w:pStyle w:val="Compact"/>
      </w:pPr>
      <w:r>
        <w:rPr>
          <w:bCs/>
          <w:b/>
        </w:rPr>
        <w:t xml:space="preserve">Raw Materials:</w:t>
      </w:r>
      <w:r>
        <w:t xml:space="preserve"> </w:t>
      </w:r>
      <w:r>
        <w:t xml:space="preserve">Representing 4.194 kg CO2e/unit (52.2% of total PCF), this is the largest contributor. Plastics, electronics, and battery materials often have high embodied carbon.</w:t>
      </w:r>
    </w:p>
    <w:p>
      <w:pPr>
        <w:numPr>
          <w:ilvl w:val="0"/>
          <w:numId w:val="1014"/>
        </w:numPr>
        <w:pStyle w:val="Compact"/>
      </w:pPr>
      <w:r>
        <w:rPr>
          <w:bCs/>
          <w:b/>
        </w:rPr>
        <w:t xml:space="preserve">Use Phase:</w:t>
      </w:r>
      <w:r>
        <w:t xml:space="preserve"> </w:t>
      </w:r>
      <w:r>
        <w:t xml:space="preserve">Contributing 2.750 kg CO2e/unit (34.2% of total PCF), the energy consumption during the product\'s lifespan is a significant factor, dependent on user behavior and regional energy mix.</w:t>
      </w:r>
    </w:p>
    <w:p>
      <w:pPr>
        <w:numPr>
          <w:ilvl w:val="0"/>
          <w:numId w:val="1014"/>
        </w:numPr>
        <w:pStyle w:val="Compact"/>
      </w:pPr>
      <w:r>
        <w:rPr>
          <w:bCs/>
          <w:b/>
        </w:rPr>
        <w:t xml:space="preserve">Manufacturing Energy (Scope 2):</w:t>
      </w:r>
      <w:r>
        <w:t xml:space="preserve"> </w:t>
      </w:r>
      <w:r>
        <w:t xml:space="preserve">At 1.3925 kg CO2e/unit (17.34% of total PCF), this is primarily influenced by the electricity grid mix in China and the renewable energy procurement strategy of xixdyyzdgv.</w:t>
      </w:r>
    </w:p>
    <w:p>
      <w:pPr>
        <w:pStyle w:val="FirstParagraph"/>
      </w:pPr>
      <w:r>
        <w:rPr>
          <w:bCs/>
          <w:b/>
        </w:rPr>
        <w:t xml:space="preserve">Reliability:</w:t>
      </w:r>
      <w:r>
        <w:t xml:space="preserve"> </w:t>
      </w:r>
      <w:r>
        <w:t xml:space="preserve">The reliability of this report is directly tied to the accuracy of the provided parameters and the assumptions made for illustrative numerical values. Utilizing client-specific primary data for BOM, actual transport distances and modes, and verified energy consumption figures would enhance accuracy significantly. The emission factors from industry-standard databases (e.g., DEFRA, IEA, Climatiq) provide a robust foundation for secondary data.</w:t>
      </w:r>
    </w:p>
    <w:p>
      <w:r>
        <w:pict>
          <v:rect style="width:0;height:1.5pt" o:hralign="center" o:hrstd="t" o:hr="t"/>
        </w:pict>
      </w:r>
    </w:p>
    <w:bookmarkEnd w:id="45"/>
    <w:bookmarkEnd w:id="46"/>
    <w:bookmarkStart w:id="47" w:name="recommendations-for-emission-reduction"/>
    <w:p>
      <w:pPr>
        <w:pStyle w:val="Heading2"/>
      </w:pPr>
      <w:r>
        <w:t xml:space="preserve">5. Recommendations for Emission Reduction</w:t>
      </w:r>
    </w:p>
    <w:p>
      <w:pPr>
        <w:pStyle w:val="FirstParagraph"/>
      </w:pPr>
      <w:r>
        <w:t xml:space="preserve">Based on the identified hotspots, xixdyyzdgv can focus on the following areas to reduce the PCF of wlozilgkev:</w:t>
      </w:r>
    </w:p>
    <w:p>
      <w:pPr>
        <w:numPr>
          <w:ilvl w:val="0"/>
          <w:numId w:val="1015"/>
        </w:numPr>
        <w:pStyle w:val="Compact"/>
      </w:pPr>
      <w:r>
        <w:rPr>
          <w:bCs/>
          <w:b/>
        </w:rPr>
        <w:t xml:space="preserve">Material Optimization:</w:t>
      </w:r>
      <w:r>
        <w:t xml:space="preserve"> </w:t>
      </w:r>
      <w:r>
        <w:t xml:space="preserve">Explore alternative, lower-carbon materials for the main casing, electronic board, and battery pack. This includes lightweighting, increasing recycled content, or sourcing from suppliers with cleaner production processes.</w:t>
      </w:r>
    </w:p>
    <w:p>
      <w:pPr>
        <w:numPr>
          <w:ilvl w:val="0"/>
          <w:numId w:val="1015"/>
        </w:numPr>
        <w:pStyle w:val="Compact"/>
      </w:pPr>
      <w:r>
        <w:rPr>
          <w:bCs/>
          <w:b/>
        </w:rPr>
        <w:t xml:space="preserve">Manufacturing Efficiency &amp; Renewable Energy:</w:t>
      </w:r>
      <w:r>
        <w:t xml:space="preserve"> </w:t>
      </w:r>
      <w:r>
        <w:t xml:space="preserve">Further increase renewable energy usage at the production facility in China beyond the assumed 50%, or invest in highly efficient manufacturing processes to reduce energy intensity.</w:t>
      </w:r>
    </w:p>
    <w:p>
      <w:pPr>
        <w:numPr>
          <w:ilvl w:val="0"/>
          <w:numId w:val="1015"/>
        </w:numPr>
        <w:pStyle w:val="Compact"/>
      </w:pPr>
      <w:r>
        <w:rPr>
          <w:bCs/>
          <w:b/>
        </w:rPr>
        <w:t xml:space="preserve">Product Design for Energy Efficiency:</w:t>
      </w:r>
      <w:r>
        <w:t xml:space="preserve"> </w:t>
      </w:r>
      <w:r>
        <w:t xml:space="preserve">Improve the energy efficiency of wlozilgkev during its use phase, as this is a major downstream contributor.</w:t>
      </w:r>
    </w:p>
    <w:p>
      <w:pPr>
        <w:numPr>
          <w:ilvl w:val="0"/>
          <w:numId w:val="1015"/>
        </w:numPr>
        <w:pStyle w:val="Compact"/>
      </w:pPr>
      <w:r>
        <w:rPr>
          <w:bCs/>
          <w:b/>
        </w:rPr>
        <w:t xml:space="preserve">Circular Economy Integration:</w:t>
      </w:r>
      <w:r>
        <w:t xml:space="preserve"> </w:t>
      </w:r>
      <w:r>
        <w:t xml:space="preserve">Leverage and expand the</w:t>
      </w:r>
      <w:r>
        <w:t xml:space="preserve"> </w:t>
      </w:r>
      <w:r>
        <w:rPr>
          <w:rStyle w:val="VerbatimChar"/>
        </w:rPr>
        <w:t xml:space="preserve">esktwtdfkv</w:t>
      </w:r>
      <w:r>
        <w:t xml:space="preserve"> </w:t>
      </w:r>
      <w:r>
        <w:t xml:space="preserve">(Circular/Take-back Programs) to maximize material recovery, reuse, and remanufacturing, further enhancing the positive impact at End-of-Life. Explore opportunities to design for disassembly and modularity.</w:t>
      </w:r>
    </w:p>
    <w:p>
      <w:pPr>
        <w:numPr>
          <w:ilvl w:val="0"/>
          <w:numId w:val="1015"/>
        </w:numPr>
        <w:pStyle w:val="Compact"/>
      </w:pPr>
      <w:r>
        <w:rPr>
          <w:bCs/>
          <w:b/>
        </w:rPr>
        <w:t xml:space="preserve">Logistics Optimization:</w:t>
      </w:r>
      <w:r>
        <w:t xml:space="preserve"> </w:t>
      </w:r>
      <w:r>
        <w:t xml:space="preserve">While transport is a smaller contributor, optimizing routes, consolidating shipments, and exploring lower-emission transport modes (e.g., rail over road where feasible in Europe) can yield further reductions.</w:t>
      </w:r>
    </w:p>
    <w:p>
      <w:pPr>
        <w:pStyle w:val="FirstParagraph"/>
      </w:pPr>
      <w:r>
        <w:t xml:space="preserve">Confidential - Internal Use Only.</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wlozilgkev</dc:title>
  <dc:creator/>
  <dc:description>High-detail Product Carbon Footprint (PCF) analysis report for product wlozilgkev, performed by Senior Sustainability Consultant mmjqnkiqvy using the GHG Protocol, covering materials, production, transport, use, and end-of-life phases.</dc:description>
  <dc:language>en</dc:language>
  <cp:keywords/>
  <dcterms:created xsi:type="dcterms:W3CDTF">2026-05-30T13:44:21Z</dcterms:created>
  <dcterms:modified xsi:type="dcterms:W3CDTF">2026-05-30T13:44:21Z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