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whxpsxznyh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whxpsxznyh</w:t>
      </w:r>
    </w:p>
    <w:p>
      <w:pPr>
        <w:pStyle w:val="BodyText"/>
      </w:pPr>
      <w:r>
        <w:rPr>
          <w:bCs/>
          <w:b/>
        </w:rPr>
        <w:t xml:space="preserve">Company:</w:t>
      </w:r>
      <w:r>
        <w:t xml:space="preserve"> </w:t>
      </w:r>
      <w:r>
        <w:t xml:space="preserve">ntrygmvgpe</w:t>
      </w:r>
    </w:p>
    <w:p>
      <w:pPr>
        <w:pStyle w:val="BodyText"/>
      </w:pPr>
      <w:r>
        <w:rPr>
          <w:bCs/>
          <w:b/>
        </w:rPr>
        <w:t xml:space="preserve">Senior Sustainability Consultant:</w:t>
      </w:r>
      <w:r>
        <w:t xml:space="preserve"> </w:t>
      </w:r>
      <w:r>
        <w:t xml:space="preserve">plljynptkx</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illustrative values for specific parameters, and industry standards. Actual emissions may vary based on precise operational data and market conditions.</w:t>
      </w:r>
    </w:p>
    <w:bookmarkEnd w:id="20"/>
    <w:bookmarkStart w:id="39"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29, 2026</w:t>
      </w:r>
    </w:p>
    <w:p>
      <w:pPr>
        <w:pStyle w:val="BodyText"/>
      </w:pPr>
      <w:r>
        <w:rPr>
          <w:bCs/>
          <w:b/>
        </w:rPr>
        <w:t xml:space="preserve">Prepared for:</w:t>
      </w:r>
      <w:r>
        <w:t xml:space="preserve"> </w:t>
      </w:r>
      <w:r>
        <w:t xml:space="preserve">ntrygmvgpe</w:t>
      </w:r>
    </w:p>
    <w:p>
      <w:pPr>
        <w:pStyle w:val="BodyText"/>
      </w:pPr>
      <w:r>
        <w:rPr>
          <w:bCs/>
          <w:b/>
        </w:rPr>
        <w:t xml:space="preserve">Prepared by:</w:t>
      </w:r>
      <w:r>
        <w:t xml:space="preserve"> </w:t>
      </w:r>
      <w:r>
        <w:t xml:space="preserve">plljynptkx,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whxpsxznyh</w:t>
      </w:r>
      <w:r>
        <w:t xml:space="preserve">, undertaken for</w:t>
      </w:r>
      <w:r>
        <w:t xml:space="preserve"> </w:t>
      </w:r>
      <w:r>
        <w:rPr>
          <w:bCs/>
          <w:b/>
        </w:rPr>
        <w:t xml:space="preserve">ntrygmvgpe</w:t>
      </w:r>
      <w:r>
        <w:t xml:space="preserve"> </w:t>
      </w:r>
      <w:r>
        <w:t xml:space="preserve">by</w:t>
      </w:r>
      <w:r>
        <w:t xml:space="preserve"> </w:t>
      </w:r>
      <w:r>
        <w:rPr>
          <w:bCs/>
          <w:b/>
        </w:rPr>
        <w:t xml:space="preserve">plljynptkx</w:t>
      </w:r>
      <w:r>
        <w:t xml:space="preserve">, Senior Sustainability Consultant. Adhering strictly to the GHG Protocol and incorporating the 2026 Land Sector and Removals (LSR) Standard update, this analysis provides a comprehensive assessment of greenhouse gas (GHG) emissions across the product\'s life cycle. The analysis aims to identify significant emission hotspots and inform strategic decisions for reducing the environmental impact of whxpsxznyh. Key parameters, including a detailed Bill of Materials, transport logistics, energy usage, product lifespan, and end-of-life scenarios, have been incorporated to ensure a robust and accurate assessment within the defined system boundaries.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foundation of this Product Carbon Footprint (PCF) analysis is built upon a clearly defined scope, in accordance with the Greenhouse Gas (GHG) Protocol. While the primary system boundary for manufacturing is defined as \'factory_gate\', this comprehensive analysis extends to cover the full \'cradle-to-grave\' life cycle as required, encompassing material acquisition, manufacturing, transport, use, and end-of-life phases.</w:t>
      </w:r>
    </w:p>
    <w:p>
      <w:pPr>
        <w:numPr>
          <w:ilvl w:val="0"/>
          <w:numId w:val="1001"/>
        </w:numPr>
        <w:pStyle w:val="Compact"/>
      </w:pPr>
      <w:r>
        <w:rPr>
          <w:bCs/>
          <w:b/>
        </w:rPr>
        <w:t xml:space="preserve">Functional Unit:</w:t>
      </w:r>
      <w:r>
        <w:t xml:space="preserve"> </w:t>
      </w:r>
      <w:r>
        <w:t xml:space="preserve">1.0 unit of whxpsxznyh.</w:t>
      </w:r>
    </w:p>
    <w:p>
      <w:pPr>
        <w:numPr>
          <w:ilvl w:val="0"/>
          <w:numId w:val="1001"/>
        </w:numPr>
        <w:pStyle w:val="Compact"/>
      </w:pPr>
      <w:r>
        <w:rPr>
          <w:bCs/>
          <w:b/>
        </w:rPr>
        <w:t xml:space="preserve">System Boundary:</w:t>
      </w:r>
      <w:r>
        <w:t xml:space="preserve"> </w:t>
      </w:r>
      <w:r>
        <w:t xml:space="preserve">Cradle-to-grave, with a primary focus on \'factory_gate\' for the manufacturing stage. This includes emissions from raw material extraction and processing, manufacturing, distribution (upstream and downstream), the product\'s use phase, and its end-of-life treatment.</w:t>
      </w:r>
    </w:p>
    <w:p>
      <w:pPr>
        <w:numPr>
          <w:ilvl w:val="0"/>
          <w:numId w:val="1001"/>
        </w:numPr>
        <w:pStyle w:val="Compact"/>
      </w:pPr>
      <w:r>
        <w:rPr>
          <w:bCs/>
          <w:b/>
        </w:rPr>
        <w:t xml:space="preserve">Geographic Scope:</w:t>
      </w:r>
      <w:r>
        <w:t xml:space="preserve"> </w:t>
      </w:r>
      <w:r>
        <w:t xml:space="preserve">Final production country is China, with a supply chain focus on Europe for distribution and use.</w:t>
      </w:r>
    </w:p>
    <w:p>
      <w:pPr>
        <w:numPr>
          <w:ilvl w:val="0"/>
          <w:numId w:val="1001"/>
        </w:numPr>
        <w:pStyle w:val="Compact"/>
      </w:pPr>
      <w:r>
        <w:rPr>
          <w:bCs/>
          <w:b/>
        </w:rPr>
        <w:t xml:space="preserve">Accounting Standard:</w:t>
      </w:r>
      <w:r>
        <w:t xml:space="preserve"> </w:t>
      </w:r>
      <w:r>
        <w:t xml:space="preserve">GHG Protocol Product Standard, specifically categorizing emissions into Scope 1 (direct emissions from owned or controlled sources), Scope 2 (indirect emissions from the generation of purchased energy), and Scope 3 (all other indirect emissions that occur in the value chain, both upstream and downstream). The 2026 Land Sector and Removals (LSR) Standard is conceptually applied for relevant land-use and carbon removal aspects.</w:t>
      </w:r>
    </w:p>
    <w:p>
      <w:pPr>
        <w:numPr>
          <w:ilvl w:val="0"/>
          <w:numId w:val="1001"/>
        </w:numPr>
        <w:pStyle w:val="Compact"/>
      </w:pPr>
      <w:r>
        <w:rPr>
          <w:bCs/>
          <w:b/>
        </w:rPr>
        <w:t xml:space="preserve">Allocation:</w:t>
      </w:r>
      <w:r>
        <w:t xml:space="preserve"> </w:t>
      </w:r>
      <w:r>
        <w:t xml:space="preserve">Emissions are allocated to the functional unit based on mass for material components and direct energy consumption per unit. Transport emissions are allocated based on tonne-kilometer (tkm) of the product.</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This section details the various stages of the product\'s life cycle included in the assessment and the data collection approach. Primary data, where available, has been used, complemented by secondary data from recognized databases for generic emission factors. Due to the illustrative nature of some provided parameters, representative values and industry-standard emission factors from sources like Ecoinvent and DEFRA (or similar) are used for calculation demonstrations.</w:t>
      </w:r>
    </w:p>
    <w:bookmarkStart w:id="23" w:name="Xed5a0f41b83428c02b8bdfe429bfae7a1558234"/>
    <w:p>
      <w:pPr>
        <w:pStyle w:val="Heading3"/>
      </w:pPr>
      <w:r>
        <w:t xml:space="preserve">Material Acquisition &amp; Processing (Scope 3 - Upstream)</w:t>
      </w:r>
    </w:p>
    <w:p>
      <w:pPr>
        <w:pStyle w:val="FirstParagraph"/>
      </w:pPr>
      <w:r>
        <w:t xml:space="preserve">Emissions from the extraction, processing, and pre-treatment of raw materials are accounted for in this stage. The following Detailed Bill of Materials (BOM) for</w:t>
      </w:r>
      <w:r>
        <w:t xml:space="preserve"> </w:t>
      </w:r>
      <w:r>
        <w:rPr>
          <w:bCs/>
          <w:b/>
        </w:rPr>
        <w:t xml:space="preserve">jwlmpylv</w:t>
      </w:r>
      <w:r>
        <w:t xml:space="preserve"> </w:t>
      </w:r>
      <w:r>
        <w:t xml:space="preserve">has been utilized, with illustrative emission factors and total carbon values derived from industry benchmarks.</w:t>
      </w:r>
    </w:p>
    <w:p>
      <w:pPr>
        <w:pStyle w:val="BodyText"/>
      </w:pPr>
      <w:r>
        <w:rPr>
          <w:bCs/>
          <w:b/>
        </w:rPr>
        <w:t xml:space="preserve">Detailed Bill of Materials (BOM): jwlmpylv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1.36</w:t>
            </w:r>
          </w:p>
        </w:tc>
        <w:tc>
          <w:tcPr/>
          <w:p>
            <w:pPr>
              <w:pStyle w:val="Compact"/>
              <w:jc w:val="left"/>
            </w:pPr>
            <w:r>
              <w:t xml:space="preserve">0.68</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bl>
    <w:p>
      <w:pPr>
        <w:pStyle w:val="BodyText"/>
      </w:pPr>
      <w:r>
        <w:rPr>
          <w:iCs/>
          <w:i/>
        </w:rPr>
        <w:t xml:space="preserve">Note: Emission factor for Steel production is approximately 1.36 kgCO2e/kg. Emission factors for Plastic and Electronic Components are illustrative, reflecting typical industry averages for their respective manufacturing processes and complexity.</w:t>
      </w:r>
    </w:p>
    <w:p>
      <w:pPr>
        <w:pStyle w:val="BodyText"/>
      </w:pPr>
      <w:r>
        <w:rPr>
          <w:bCs/>
          <w:b/>
        </w:rPr>
        <w:t xml:space="preserve">Total Material Emissions (Illustrative):</w:t>
      </w:r>
      <w:r>
        <w:t xml:space="preserve"> </w:t>
      </w:r>
      <w:r>
        <w:t xml:space="preserve">2.78 kgCO2e</w:t>
      </w:r>
    </w:p>
    <w:bookmarkEnd w:id="23"/>
    <w:bookmarkStart w:id="24" w:name="manufacturingproduction-scope-1-2"/>
    <w:p>
      <w:pPr>
        <w:pStyle w:val="Heading3"/>
      </w:pPr>
      <w:r>
        <w:t xml:space="preserve">Manufacturing/Production (Scope 1 &amp; 2)</w:t>
      </w:r>
    </w:p>
    <w:p>
      <w:pPr>
        <w:pStyle w:val="FirstParagraph"/>
      </w:pPr>
      <w:r>
        <w:t xml:space="preserve">This stage covers emissions directly from the manufacturing facility (Scope 1) and from purchased electricity (Scope 2). For the \'factory_gate\' boundary, direct process emissions (Scope 1) are assumed negligible unless specific on-site fuel combustion is identified. The primary focus is on Scope 2 emissions from electricity consumption.</w:t>
      </w:r>
    </w:p>
    <w:p>
      <w:pPr>
        <w:numPr>
          <w:ilvl w:val="0"/>
          <w:numId w:val="1002"/>
        </w:numPr>
        <w:pStyle w:val="Compact"/>
      </w:pPr>
      <w:r>
        <w:rPr>
          <w:bCs/>
          <w:b/>
        </w:rPr>
        <w:t xml:space="preserve">Energy Intensity (kWh/unit):</w:t>
      </w:r>
      <w:r>
        <w:t xml:space="preserve"> </w:t>
      </w:r>
      <w:r>
        <w:t xml:space="preserve">kovhptegix (Illustrative: 10 kWh/unit)</w:t>
      </w:r>
    </w:p>
    <w:p>
      <w:pPr>
        <w:numPr>
          <w:ilvl w:val="0"/>
          <w:numId w:val="1002"/>
        </w:numPr>
        <w:pStyle w:val="Compact"/>
      </w:pPr>
      <w:r>
        <w:rPr>
          <w:bCs/>
          <w:b/>
        </w:rPr>
        <w:t xml:space="preserve">Renewable Energy Usage:</w:t>
      </w:r>
      <w:r>
        <w:t xml:space="preserve"> </w:t>
      </w:r>
      <w:r>
        <w:t xml:space="preserve">rqljovqerx (Illustrative: 50%)</w:t>
      </w:r>
    </w:p>
    <w:p>
      <w:pPr>
        <w:numPr>
          <w:ilvl w:val="0"/>
          <w:numId w:val="1002"/>
        </w:numPr>
        <w:pStyle w:val="Compact"/>
      </w:pPr>
      <w:r>
        <w:rPr>
          <w:bCs/>
          <w:b/>
        </w:rPr>
        <w:t xml:space="preserve">Non-renewable electricity consumed per unit:</w:t>
      </w:r>
      <w:r>
        <w:t xml:space="preserve"> </w:t>
      </w:r>
      <w:r>
        <w:t xml:space="preserve">10 kWh/unit * (1 - 0.50) = 5 kWh/unit</w:t>
      </w:r>
    </w:p>
    <w:p>
      <w:pPr>
        <w:numPr>
          <w:ilvl w:val="0"/>
          <w:numId w:val="1002"/>
        </w:numPr>
        <w:pStyle w:val="Compact"/>
      </w:pPr>
      <w:r>
        <w:rPr>
          <w:bCs/>
          <w:b/>
        </w:rPr>
        <w:t xml:space="preserve">China Grid Electricity Emission Factor:</w:t>
      </w:r>
      <w:r>
        <w:t xml:space="preserve"> </w:t>
      </w:r>
      <w:r>
        <w:t xml:space="preserve">0.577 kg CO2e/kWh (or 577 kg CO2e/MWh)</w:t>
      </w:r>
    </w:p>
    <w:bookmarkEnd w:id="24"/>
    <w:bookmarkStart w:id="25" w:name="Xc78fa9e95fdc5a4841e5055035e97eb6a5c3c11"/>
    <w:p>
      <w:pPr>
        <w:pStyle w:val="Heading3"/>
      </w:pPr>
      <w:r>
        <w:t xml:space="preserve">Transport &amp; Distribution (Scope 3 - Upstream &amp; Downstream)</w:t>
      </w:r>
    </w:p>
    <w:p>
      <w:pPr>
        <w:pStyle w:val="FirstParagraph"/>
      </w:pPr>
      <w:r>
        <w:t xml:space="preserve">Emissions from transporting raw materials to the factory and finished products to the customer are included. Given the geographic scope, intercontinental ocean freight and last-mile road freight are assumed.</w:t>
      </w:r>
    </w:p>
    <w:p>
      <w:pPr>
        <w:numPr>
          <w:ilvl w:val="0"/>
          <w:numId w:val="1003"/>
        </w:numPr>
        <w:pStyle w:val="Compact"/>
      </w:pPr>
      <w:r>
        <w:rPr>
          <w:bCs/>
          <w:b/>
        </w:rPr>
        <w:t xml:space="preserve">Product Weight for Transport:</w:t>
      </w:r>
      <w:r>
        <w:t xml:space="preserve"> </w:t>
      </w:r>
      <w:r>
        <w:t xml:space="preserve">0.8 kg/unit (sum of illustrative BOM item weights)</w:t>
      </w:r>
    </w:p>
    <w:p>
      <w:pPr>
        <w:numPr>
          <w:ilvl w:val="0"/>
          <w:numId w:val="1003"/>
        </w:numPr>
        <w:pStyle w:val="Compact"/>
      </w:pPr>
      <w:r>
        <w:rPr>
          <w:bCs/>
          <w:b/>
        </w:rPr>
        <w:t xml:space="preserve">Transport Mode (Illustrative):</w:t>
      </w:r>
      <w:r>
        <w:t xml:space="preserve"> </w:t>
      </w:r>
      <w:r>
        <w:t xml:space="preserve">Select Mode (Assumed: Ocean Freight for primary journey, Road Freight for last-mile delivery)</w:t>
      </w:r>
    </w:p>
    <w:p>
      <w:pPr>
        <w:numPr>
          <w:ilvl w:val="0"/>
          <w:numId w:val="1003"/>
        </w:numPr>
        <w:pStyle w:val="Compact"/>
      </w:pPr>
      <w:r>
        <w:rPr>
          <w:bCs/>
          <w:b/>
        </w:rPr>
        <w:t xml:space="preserve">Transport Distance (Illustrative):</w:t>
      </w:r>
      <w:r>
        <w:t xml:space="preserve"> </w:t>
      </w:r>
      <w:r>
        <w:t xml:space="preserve">uxpmguhwwg (Assumed: Ocean Freight: 15,000 km from China to Europe; Road Freight: 500 km for last-mile within Europe)</w:t>
      </w:r>
    </w:p>
    <w:p>
      <w:pPr>
        <w:numPr>
          <w:ilvl w:val="0"/>
          <w:numId w:val="1003"/>
        </w:numPr>
        <w:pStyle w:val="Compact"/>
      </w:pPr>
      <w:r>
        <w:rPr>
          <w:bCs/>
          <w:b/>
        </w:rPr>
        <w:t xml:space="preserve">Last-Mile Delivery Channel (Illustrative):</w:t>
      </w:r>
      <w:r>
        <w:t xml:space="preserve"> </w:t>
      </w:r>
      <w:r>
        <w:t xml:space="preserve">Delivery Type (Assumed: Road Freight)</w:t>
      </w:r>
    </w:p>
    <w:p>
      <w:pPr>
        <w:numPr>
          <w:ilvl w:val="0"/>
          <w:numId w:val="1003"/>
        </w:numPr>
        <w:pStyle w:val="Compact"/>
      </w:pPr>
      <w:r>
        <w:rPr>
          <w:bCs/>
          <w:b/>
        </w:rPr>
        <w:t xml:space="preserve">Ocean Freight Emission Factor:</w:t>
      </w:r>
      <w:r>
        <w:t xml:space="preserve"> </w:t>
      </w:r>
      <w:r>
        <w:t xml:space="preserve">0.016 kgCO2e/tkm (16 gCO2e/tkm for container ships)</w:t>
      </w:r>
    </w:p>
    <w:p>
      <w:pPr>
        <w:numPr>
          <w:ilvl w:val="0"/>
          <w:numId w:val="1003"/>
        </w:numPr>
        <w:pStyle w:val="Compact"/>
      </w:pPr>
      <w:r>
        <w:rPr>
          <w:bCs/>
          <w:b/>
        </w:rPr>
        <w:t xml:space="preserve">Road Freight Emission Factor:</w:t>
      </w:r>
      <w:r>
        <w:t xml:space="preserve"> </w:t>
      </w:r>
      <w:r>
        <w:t xml:space="preserve">0.062 kgCO2e/tkm (62 gCO2e/tkm average for road transport)</w:t>
      </w:r>
    </w:p>
    <w:bookmarkEnd w:id="25"/>
    <w:bookmarkStart w:id="26" w:name="use-phase-scope-3---downstream"/>
    <w:p>
      <w:pPr>
        <w:pStyle w:val="Heading3"/>
      </w:pPr>
      <w:r>
        <w:t xml:space="preserve">Use Phase (Scope 3 - Downstream)</w:t>
      </w:r>
    </w:p>
    <w:p>
      <w:pPr>
        <w:pStyle w:val="FirstParagraph"/>
      </w:pPr>
      <w:r>
        <w:t xml:space="preserve">Emissions generated during the product\'s operational life by the end-user are calculated based on its energy consumption and lifespan.</w:t>
      </w:r>
    </w:p>
    <w:p>
      <w:pPr>
        <w:numPr>
          <w:ilvl w:val="0"/>
          <w:numId w:val="1004"/>
        </w:numPr>
        <w:pStyle w:val="Compact"/>
      </w:pPr>
      <w:r>
        <w:rPr>
          <w:bCs/>
          <w:b/>
        </w:rPr>
        <w:t xml:space="preserve">Product Lifespan (Illustrative):</w:t>
      </w:r>
      <w:r>
        <w:t xml:space="preserve"> </w:t>
      </w:r>
      <w:r>
        <w:t xml:space="preserve">xisgpdmnwq (Assumed: 5 years)</w:t>
      </w:r>
    </w:p>
    <w:p>
      <w:pPr>
        <w:numPr>
          <w:ilvl w:val="0"/>
          <w:numId w:val="1004"/>
        </w:numPr>
        <w:pStyle w:val="Compact"/>
      </w:pPr>
      <w:r>
        <w:rPr>
          <w:bCs/>
          <w:b/>
        </w:rPr>
        <w:t xml:space="preserve">Energy Consumption in Use (Illustrative):</w:t>
      </w:r>
      <w:r>
        <w:t xml:space="preserve"> </w:t>
      </w:r>
      <w:r>
        <w:t xml:space="preserve">kwytpuwgks (Assumed: 20 kWh/year)</w:t>
      </w:r>
    </w:p>
    <w:p>
      <w:pPr>
        <w:numPr>
          <w:ilvl w:val="0"/>
          <w:numId w:val="1004"/>
        </w:numPr>
        <w:pStyle w:val="Compact"/>
      </w:pPr>
      <w:r>
        <w:rPr>
          <w:bCs/>
          <w:b/>
        </w:rPr>
        <w:t xml:space="preserve">Total Energy Consumption over Lifespan:</w:t>
      </w:r>
      <w:r>
        <w:t xml:space="preserve"> </w:t>
      </w:r>
      <w:r>
        <w:t xml:space="preserve">20 kWh/year * 5 years = 100 kWh</w:t>
      </w:r>
    </w:p>
    <w:p>
      <w:pPr>
        <w:numPr>
          <w:ilvl w:val="0"/>
          <w:numId w:val="1004"/>
        </w:numPr>
        <w:pStyle w:val="Compact"/>
      </w:pPr>
      <w:r>
        <w:rPr>
          <w:bCs/>
          <w:b/>
        </w:rPr>
        <w:t xml:space="preserve">European Average Electricity Emission Factor (Illustrative):</w:t>
      </w:r>
      <w:r>
        <w:t xml:space="preserve"> </w:t>
      </w:r>
      <w:r>
        <w:t xml:space="preserve">0.25 kgCO2e/kWh (representative of a general European mix for the use phase)</w:t>
      </w:r>
    </w:p>
    <w:bookmarkEnd w:id="26"/>
    <w:bookmarkStart w:id="27" w:name="X2449e76f36fce2c9fec3c701a472f020b80894d"/>
    <w:p>
      <w:pPr>
        <w:pStyle w:val="Heading3"/>
      </w:pPr>
      <w:r>
        <w:t xml:space="preserve">End-of-Life (EoL) Scenarios (Scope 3 - Downstream)</w:t>
      </w:r>
    </w:p>
    <w:p>
      <w:pPr>
        <w:pStyle w:val="FirstParagraph"/>
      </w:pPr>
      <w:r>
        <w:t xml:space="preserve">This stage accounts for emissions associated with the disposal and treatment of the product after its useful life, including benefits from recycling.</w:t>
      </w:r>
    </w:p>
    <w:p>
      <w:pPr>
        <w:numPr>
          <w:ilvl w:val="0"/>
          <w:numId w:val="1005"/>
        </w:numPr>
        <w:pStyle w:val="Compact"/>
      </w:pPr>
      <w:r>
        <w:rPr>
          <w:bCs/>
          <w:b/>
        </w:rPr>
        <w:t xml:space="preserve">Total Product Weight:</w:t>
      </w:r>
      <w:r>
        <w:t xml:space="preserve"> </w:t>
      </w:r>
      <w:r>
        <w:t xml:space="preserve">0.8 kg/unit</w:t>
      </w:r>
    </w:p>
    <w:p>
      <w:pPr>
        <w:numPr>
          <w:ilvl w:val="0"/>
          <w:numId w:val="1005"/>
        </w:numPr>
        <w:pStyle w:val="Compact"/>
      </w:pPr>
      <w:r>
        <w:rPr>
          <w:bCs/>
          <w:b/>
        </w:rPr>
        <w:t xml:space="preserve">Recyclability Percentage (Illustrative):</w:t>
      </w:r>
      <w:r>
        <w:t xml:space="preserve"> </w:t>
      </w:r>
      <w:r>
        <w:t xml:space="preserve">dgjypllryy (Assumed: 70%)</w:t>
      </w:r>
    </w:p>
    <w:p>
      <w:pPr>
        <w:numPr>
          <w:ilvl w:val="0"/>
          <w:numId w:val="1005"/>
        </w:numPr>
        <w:pStyle w:val="Compact"/>
      </w:pPr>
      <w:r>
        <w:rPr>
          <w:bCs/>
          <w:b/>
        </w:rPr>
        <w:t xml:space="preserve">Circular/Take-back Programs (Illustrative):</w:t>
      </w:r>
      <w:r>
        <w:t xml:space="preserve"> </w:t>
      </w:r>
      <w:r>
        <w:t xml:space="preserve">jsdfwxqgot (Acknowledged; assumed to contribute to the effective recycling rate.)</w:t>
      </w:r>
    </w:p>
    <w:p>
      <w:pPr>
        <w:numPr>
          <w:ilvl w:val="0"/>
          <w:numId w:val="1005"/>
        </w:numPr>
        <w:pStyle w:val="Compact"/>
      </w:pPr>
      <w:r>
        <w:rPr>
          <w:bCs/>
          <w:b/>
        </w:rPr>
        <w:t xml:space="preserve">Portion Recycled:</w:t>
      </w:r>
      <w:r>
        <w:t xml:space="preserve"> </w:t>
      </w:r>
      <w:r>
        <w:t xml:space="preserve">0.8 kg * 0.70 = 0.56 kg</w:t>
      </w:r>
    </w:p>
    <w:p>
      <w:pPr>
        <w:numPr>
          <w:ilvl w:val="0"/>
          <w:numId w:val="1005"/>
        </w:numPr>
        <w:pStyle w:val="Compact"/>
      </w:pPr>
      <w:r>
        <w:rPr>
          <w:bCs/>
          <w:b/>
        </w:rPr>
        <w:t xml:space="preserve">Portion Disposed (e.g., Landfill):</w:t>
      </w:r>
      <w:r>
        <w:t xml:space="preserve"> </w:t>
      </w:r>
      <w:r>
        <w:t xml:space="preserve">0.8 kg * (1 - 0.70) = 0.24 kg</w:t>
      </w:r>
    </w:p>
    <w:p>
      <w:pPr>
        <w:numPr>
          <w:ilvl w:val="0"/>
          <w:numId w:val="1005"/>
        </w:numPr>
        <w:pStyle w:val="Compact"/>
      </w:pPr>
      <w:r>
        <w:rPr>
          <w:bCs/>
          <w:b/>
        </w:rPr>
        <w:t xml:space="preserve">Illustrative Recycling Emission Factor:</w:t>
      </w:r>
      <w:r>
        <w:t xml:space="preserve"> </w:t>
      </w:r>
      <w:r>
        <w:t xml:space="preserve">0.02 kg CO₂e/kg (emissions from recycling process)</w:t>
      </w:r>
    </w:p>
    <w:p>
      <w:pPr>
        <w:numPr>
          <w:ilvl w:val="0"/>
          <w:numId w:val="1005"/>
        </w:numPr>
        <w:pStyle w:val="Compact"/>
      </w:pPr>
      <w:r>
        <w:rPr>
          <w:bCs/>
          <w:b/>
        </w:rPr>
        <w:t xml:space="preserve">Illustrative Landfill Emission Factor:</w:t>
      </w:r>
      <w:r>
        <w:t xml:space="preserve"> </w:t>
      </w:r>
      <w:r>
        <w:t xml:space="preserve">1.2 kg CO₂e/kg (emissions from landfilling)</w:t>
      </w:r>
    </w:p>
    <w:p>
      <w:r>
        <w:pict>
          <v:rect style="width:0;height:1.5pt" o:hralign="center" o:hrstd="t" o:hr="t"/>
        </w:pict>
      </w:r>
    </w:p>
    <w:bookmarkEnd w:id="27"/>
    <w:bookmarkEnd w:id="28"/>
    <w:bookmarkStart w:id="34" w:name="emission-calculation"/>
    <w:p>
      <w:pPr>
        <w:pStyle w:val="Heading2"/>
      </w:pPr>
      <w:r>
        <w:t xml:space="preserve">4. Emission Calculation</w:t>
      </w:r>
    </w:p>
    <w:p>
      <w:pPr>
        <w:pStyle w:val="FirstParagraph"/>
      </w:pPr>
      <w:r>
        <w:t xml:space="preserve">Emissions are calculated by multiplying activity data by relevant emission factors. The results are categorized according to the GHG Protocol\'s Scope 1, 2, and 3 definitions. A key commitment of this analysis is to ensure at least 95% coverage for Scope 3 reporting, in line with 2026 requirements, by comprehensively addressing upstream and downstream activities.</w:t>
      </w:r>
    </w:p>
    <w:bookmarkStart w:id="29" w:name="ghg-protocol-scope-categorization"/>
    <w:p>
      <w:pPr>
        <w:pStyle w:val="Heading3"/>
      </w:pPr>
      <w:r>
        <w:t xml:space="preserve">GHG Protocol Scope Categorization</w:t>
      </w:r>
    </w:p>
    <w:p>
      <w:pPr>
        <w:numPr>
          <w:ilvl w:val="0"/>
          <w:numId w:val="1006"/>
        </w:numPr>
        <w:pStyle w:val="Compact"/>
      </w:pPr>
      <w:r>
        <w:rPr>
          <w:bCs/>
          <w:b/>
        </w:rPr>
        <w:t xml:space="preserve">Scope 1 (Direct Emissions):</w:t>
      </w:r>
      <w:r>
        <w:t xml:space="preserve"> </w:t>
      </w:r>
      <w:r>
        <w:t xml:space="preserve">Emissions from sources owned or controlled by ntrygmvgpe. In this analysis, direct manufacturing process emissions at the factory gate are assumed to be minimal or zero unless specific on-site fuel combustion data is provided.</w:t>
      </w:r>
    </w:p>
    <w:p>
      <w:pPr>
        <w:numPr>
          <w:ilvl w:val="0"/>
          <w:numId w:val="1006"/>
        </w:numPr>
        <w:pStyle w:val="Compact"/>
      </w:pPr>
      <w:r>
        <w:rPr>
          <w:bCs/>
          <w:b/>
        </w:rPr>
        <w:t xml:space="preserve">Scope 2 (Indirect Emissions from Purchased Energy):</w:t>
      </w:r>
      <w:r>
        <w:t xml:space="preserve"> </w:t>
      </w:r>
      <w:r>
        <w:t xml:space="preserve">Emissions from the generation of purchased electricity consumed by ntrygmvgpe during the manufacturing of whxpsxznyh.</w:t>
      </w:r>
    </w:p>
    <w:p>
      <w:pPr>
        <w:numPr>
          <w:ilvl w:val="0"/>
          <w:numId w:val="1006"/>
        </w:numPr>
        <w:pStyle w:val="Compact"/>
      </w:pPr>
      <w:r>
        <w:rPr>
          <w:bCs/>
          <w:b/>
        </w:rPr>
        <w:t xml:space="preserve">Scope 3 (Other Indirect Emissions):</w:t>
      </w:r>
      <w:r>
        <w:t xml:space="preserve"> </w:t>
      </w:r>
      <w:r>
        <w:t xml:space="preserve">All other indirect emissions that occur in the value chain of whxpsxznyh, both upstream (e.g., material production, inbound logistics) and downstream (e.g., product transport, use phase, end-of-life).</w:t>
      </w:r>
    </w:p>
    <w:bookmarkEnd w:id="29"/>
    <w:bookmarkStart w:id="30" w:name="X89712ad2f96f1545c787068fc4ef6a440b6ce2b"/>
    <w:p>
      <w:pPr>
        <w:pStyle w:val="Heading3"/>
      </w:pPr>
      <w:r>
        <w:t xml:space="preserve">Summary of Calculated Emissions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w:t>
            </w:r>
          </w:p>
        </w:tc>
        <w:tc>
          <w:tcPr/>
          <w:p>
            <w:pPr>
              <w:pStyle w:val="Compact"/>
              <w:jc w:val="left"/>
            </w:pPr>
            <w:r>
              <w:t xml:space="preserve">Total CO2e (kg)</w:t>
            </w:r>
          </w:p>
        </w:tc>
      </w:tr>
      <w:tr>
        <w:tc>
          <w:tcPr/>
          <w:p>
            <w:pPr>
              <w:pStyle w:val="Compact"/>
              <w:jc w:val="left"/>
            </w:pPr>
            <w:r>
              <w:rPr>
                <w:bCs/>
                <w:b/>
              </w:rPr>
              <w:t xml:space="preserve">Material Acquisition &amp; Processing</w:t>
            </w:r>
          </w:p>
        </w:tc>
        <w:tc>
          <w:tcPr/>
          <w:p>
            <w:pPr>
              <w:pStyle w:val="Compact"/>
              <w:jc w:val="left"/>
            </w:pPr>
            <w:r>
              <w:t xml:space="preserve">Scope 3 (Upstream)</w:t>
            </w:r>
          </w:p>
        </w:tc>
        <w:tc>
          <w:tcPr/>
          <w:p>
            <w:pPr>
              <w:pStyle w:val="Compact"/>
              <w:jc w:val="left"/>
            </w:pPr>
            <w:r>
              <w:t xml:space="preserve">Sum of \'Total Carbon\' from Illustrative BOM</w:t>
            </w:r>
          </w:p>
        </w:tc>
        <w:tc>
          <w:tcPr/>
          <w:p>
            <w:pPr>
              <w:pStyle w:val="Compact"/>
              <w:jc w:val="left"/>
            </w:pPr>
            <w:r>
              <w:t xml:space="preserve">2.78</w:t>
            </w:r>
          </w:p>
        </w:tc>
      </w:tr>
      <w:tr>
        <w:tc>
          <w:tcPr/>
          <w:p>
            <w:pPr>
              <w:pStyle w:val="Compact"/>
              <w:jc w:val="left"/>
            </w:pPr>
            <w:r>
              <w:rPr>
                <w:bCs/>
                <w:b/>
              </w:rPr>
              <w:t xml:space="preserve">Manufacturing (Purchased Electricity)</w:t>
            </w:r>
          </w:p>
        </w:tc>
        <w:tc>
          <w:tcPr/>
          <w:p>
            <w:pPr>
              <w:pStyle w:val="Compact"/>
              <w:jc w:val="left"/>
            </w:pPr>
            <w:r>
              <w:t xml:space="preserve">Scope 2</w:t>
            </w:r>
          </w:p>
        </w:tc>
        <w:tc>
          <w:tcPr/>
          <w:p>
            <w:pPr>
              <w:pStyle w:val="Compact"/>
              <w:jc w:val="left"/>
            </w:pPr>
            <w:r>
              <w:t xml:space="preserve">5 kWh/unit (non-renewable) * 0.577 kgCO2e/kWh (China grid)</w:t>
            </w:r>
          </w:p>
        </w:tc>
        <w:tc>
          <w:tcPr/>
          <w:p>
            <w:pPr>
              <w:pStyle w:val="Compact"/>
              <w:jc w:val="left"/>
            </w:pPr>
            <w:r>
              <w:t xml:space="preserve">2.885</w:t>
            </w:r>
          </w:p>
        </w:tc>
      </w:tr>
      <w:tr>
        <w:tc>
          <w:tcPr>
            <w:vMerge w:val="restart"/>
          </w:tcPr>
          <w:p>
            <w:pPr>
              <w:pStyle w:val="Compact"/>
              <w:jc w:val="left"/>
            </w:pPr>
            <w:r>
              <w:rPr>
                <w:bCs/>
                <w:b/>
              </w:rPr>
              <w:t xml:space="preserve">Transport &amp; Distribution</w:t>
            </w:r>
          </w:p>
        </w:tc>
        <w:tc>
          <w:tcPr>
            <w:vMerge w:val="restart"/>
          </w:tcPr>
          <w:p>
            <w:pPr>
              <w:pStyle w:val="Compact"/>
              <w:jc w:val="left"/>
            </w:pPr>
            <w:r>
              <w:t xml:space="preserve">Scope 3 (Upstream &amp; Downstream)</w:t>
            </w:r>
          </w:p>
        </w:tc>
        <w:tc>
          <w:tcPr/>
          <w:p>
            <w:pPr>
              <w:pStyle w:val="Compact"/>
              <w:jc w:val="left"/>
            </w:pPr>
            <w:r>
              <w:t xml:space="preserve">Ocean Freight: 15,000 km * 0.8 kg * 0.016 kgCO2e/tkm / 1000 = 0.192 kgCO2e</w:t>
            </w:r>
          </w:p>
        </w:tc>
        <w:tc>
          <w:tcPr/>
          <w:p>
            <w:pPr>
              <w:pStyle w:val="Compact"/>
              <w:jc w:val="left"/>
            </w:pPr>
            <w:r>
              <w:t xml:space="preserve">0.192</w:t>
            </w:r>
          </w:p>
        </w:tc>
      </w:tr>
      <w:tr>
        <w:tc>
          <w:tcPr>
            <w:gridSpan w:val="1"/>
            <w:vMerge w:val="continue"/>
          </w:tcPr>
          <w:p>
            <w:pPr/>
          </w:p>
        </w:tc>
        <w:tc>
          <w:tcPr>
            <w:gridSpan w:val="1"/>
            <w:vMerge w:val="continue"/>
          </w:tcPr>
          <w:p>
            <w:pPr/>
          </w:p>
        </w:tc>
        <w:tc>
          <w:tcPr/>
          <w:p>
            <w:pPr>
              <w:pStyle w:val="Compact"/>
              <w:jc w:val="left"/>
            </w:pPr>
            <w:r>
              <w:t xml:space="preserve">Road Freight (Last Mile): 500 km * 0.8 kg * 0.062 kgCO2e/tkm / 1000 = 0.0248 kgCO2e</w:t>
            </w:r>
          </w:p>
        </w:tc>
        <w:tc>
          <w:tcPr/>
          <w:p>
            <w:pPr>
              <w:pStyle w:val="Compact"/>
              <w:jc w:val="left"/>
            </w:pPr>
            <w:r>
              <w:t xml:space="preserve">0.0248</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100 kWh (total lifespan) * 0.25 kgCO2e/kWh (EU average)</w:t>
            </w:r>
          </w:p>
        </w:tc>
        <w:tc>
          <w:tcPr/>
          <w:p>
            <w:pPr>
              <w:pStyle w:val="Compact"/>
              <w:jc w:val="left"/>
            </w:pPr>
            <w:r>
              <w:t xml:space="preserve">25.00</w:t>
            </w:r>
          </w:p>
        </w:tc>
      </w:tr>
      <w:tr>
        <w:tc>
          <w:tcPr>
            <w:vMerge w:val="restart"/>
          </w:tcPr>
          <w:p>
            <w:pPr>
              <w:pStyle w:val="Compact"/>
              <w:jc w:val="left"/>
            </w:pPr>
            <w:r>
              <w:rPr>
                <w:bCs/>
                <w:b/>
              </w:rPr>
              <w:t xml:space="preserve">End-of-Life</w:t>
            </w:r>
          </w:p>
        </w:tc>
        <w:tc>
          <w:tcPr>
            <w:vMerge w:val="restart"/>
          </w:tcPr>
          <w:p>
            <w:pPr>
              <w:pStyle w:val="Compact"/>
              <w:jc w:val="left"/>
            </w:pPr>
            <w:r>
              <w:t xml:space="preserve">Scope 3 (Downstream)</w:t>
            </w:r>
          </w:p>
        </w:tc>
        <w:tc>
          <w:tcPr/>
          <w:p>
            <w:pPr>
              <w:pStyle w:val="Compact"/>
              <w:jc w:val="left"/>
            </w:pPr>
            <w:r>
              <w:t xml:space="preserve">Recycling: 0.56 kg * 0.02 kgCO2e/kg = 0.0112 kgCO2e</w:t>
            </w:r>
          </w:p>
        </w:tc>
        <w:tc>
          <w:tcPr/>
          <w:p>
            <w:pPr>
              <w:pStyle w:val="Compact"/>
              <w:jc w:val="left"/>
            </w:pPr>
            <w:r>
              <w:t xml:space="preserve">0.0112</w:t>
            </w:r>
          </w:p>
        </w:tc>
      </w:tr>
      <w:tr>
        <w:tc>
          <w:tcPr>
            <w:gridSpan w:val="1"/>
            <w:vMerge w:val="continue"/>
          </w:tcPr>
          <w:p>
            <w:pPr/>
          </w:p>
        </w:tc>
        <w:tc>
          <w:tcPr>
            <w:gridSpan w:val="1"/>
            <w:vMerge w:val="continue"/>
          </w:tcPr>
          <w:p>
            <w:pPr/>
          </w:p>
        </w:tc>
        <w:tc>
          <w:tcPr/>
          <w:p>
            <w:pPr>
              <w:pStyle w:val="Compact"/>
              <w:jc w:val="left"/>
            </w:pPr>
            <w:r>
              <w:t xml:space="preserve">Disposal (Landfill): 0.24 kg * 1.2 kgCO2e/kg = 0.288 kgCO2e</w:t>
            </w:r>
          </w:p>
        </w:tc>
        <w:tc>
          <w:tcPr/>
          <w:p>
            <w:pPr>
              <w:pStyle w:val="Compact"/>
              <w:jc w:val="left"/>
            </w:pPr>
            <w:r>
              <w:t xml:space="preserve">0.288</w:t>
            </w:r>
          </w:p>
        </w:tc>
      </w:tr>
    </w:tbl>
    <w:bookmarkEnd w:id="30"/>
    <w:bookmarkStart w:id="31" w:name="Xcec7bf92996c1a38a09bc331a26059af9372eba"/>
    <w:p>
      <w:pPr>
        <w:pStyle w:val="Heading3"/>
      </w:pPr>
      <w:r>
        <w:t xml:space="preserve">Total Product Carbon Footprint (PCF) for whxpsxznyh:</w:t>
      </w:r>
    </w:p>
    <w:p>
      <w:pPr>
        <w:pStyle w:val="FirstParagraph"/>
      </w:pPr>
      <w:r>
        <w:rPr>
          <w:bCs/>
          <w:b/>
        </w:rPr>
        <w:t xml:space="preserve">Total PCF (Illustrative): 31.181 kgCO2e per unit</w:t>
      </w:r>
    </w:p>
    <w:bookmarkEnd w:id="31"/>
    <w:bookmarkStart w:id="32" w:name="X504f4a86e01fdcfa46a4589bb1b5e0cfaad8629"/>
    <w:p>
      <w:pPr>
        <w:pStyle w:val="Heading3"/>
      </w:pPr>
      <w:r>
        <w:t xml:space="preserve">2026 Land Sector and Removals (LSR) Standard Update</w:t>
      </w:r>
    </w:p>
    <w:p>
      <w:pPr>
        <w:pStyle w:val="FirstParagraph"/>
      </w:pPr>
      <w:r>
        <w:t xml:space="preserve">In adherence to the 2026 LSR Standard, this analysis acknowledges and conceptually integrates land use and carbon removal impacts. While the illustrative BOM does not explicitly contain bio-based materials or direct land-use change components, future iterations with specific data should fully quantify these aspects. This includes emissions and removals from activities like forestry, agriculture, and other land management practices if they are part of the product\'s value chain, especially concerning raw material sourcing or waste treatment processes involving biogenic carbon.</w:t>
      </w:r>
    </w:p>
    <w:bookmarkEnd w:id="32"/>
    <w:bookmarkStart w:id="33" w:name="scope-3-compliance"/>
    <w:p>
      <w:pPr>
        <w:pStyle w:val="Heading3"/>
      </w:pPr>
      <w:r>
        <w:t xml:space="preserve">Scope 3 Compliance</w:t>
      </w:r>
    </w:p>
    <w:p>
      <w:pPr>
        <w:pStyle w:val="FirstParagraph"/>
      </w:pPr>
      <w:r>
        <w:t xml:space="preserve">A rigorous effort has been made to ensure comprehensive Scope 3 reporting, targeting at least 95% coverage as per 2026 requirements. By incorporating detailed data for material production, transport (both upstream and downstream), product use, and end-of-life, this analysis aims to capture the vast majority of indirect emissions associated with whxpsxznyh\'s value chain. This high level of coverage is critical for identifying all significant emission sources and for robust sustainability management.</w:t>
      </w:r>
    </w:p>
    <w:p>
      <w:r>
        <w:pict>
          <v:rect style="width:0;height:1.5pt" o:hralign="center" o:hrstd="t" o:hr="t"/>
        </w:pict>
      </w:r>
    </w:p>
    <w:bookmarkEnd w:id="33"/>
    <w:bookmarkEnd w:id="34"/>
    <w:bookmarkStart w:id="37" w:name="review-report"/>
    <w:p>
      <w:pPr>
        <w:pStyle w:val="Heading2"/>
      </w:pPr>
      <w:r>
        <w:t xml:space="preserve">5. Review &amp; Report</w:t>
      </w:r>
    </w:p>
    <w:bookmarkStart w:id="35" w:name="hotspot-analysis"/>
    <w:p>
      <w:pPr>
        <w:pStyle w:val="Heading3"/>
      </w:pPr>
      <w:r>
        <w:t xml:space="preserve">Hotspot Analysis</w:t>
      </w:r>
    </w:p>
    <w:p>
      <w:pPr>
        <w:pStyle w:val="FirstParagraph"/>
      </w:pPr>
      <w:r>
        <w:t xml:space="preserve">Based on the illustrative calculations, the primary emission hotspots for</w:t>
      </w:r>
      <w:r>
        <w:t xml:space="preserve"> </w:t>
      </w:r>
      <w:r>
        <w:rPr>
          <w:bCs/>
          <w:b/>
        </w:rPr>
        <w:t xml:space="preserve">whxpsxznyh</w:t>
      </w:r>
      <w:r>
        <w:t xml:space="preserve"> </w:t>
      </w:r>
      <w:r>
        <w:t xml:space="preserve">are identified as:</w:t>
      </w:r>
    </w:p>
    <w:p>
      <w:pPr>
        <w:numPr>
          <w:ilvl w:val="0"/>
          <w:numId w:val="1007"/>
        </w:numPr>
        <w:pStyle w:val="Compact"/>
      </w:pPr>
      <w:r>
        <w:rPr>
          <w:bCs/>
          <w:b/>
        </w:rPr>
        <w:t xml:space="preserve">Use Phase (Scope 3 - Downstream):</w:t>
      </w:r>
      <w:r>
        <w:t xml:space="preserve"> </w:t>
      </w:r>
      <w:r>
        <w:t xml:space="preserve">Contributing the largest portion (approximately 80%) of the total PCF due to prolonged energy consumption over the product\'s lifespan. This highlights the critical importance of energy efficiency in product design and user behavior.</w:t>
      </w:r>
    </w:p>
    <w:p>
      <w:pPr>
        <w:numPr>
          <w:ilvl w:val="0"/>
          <w:numId w:val="1007"/>
        </w:numPr>
        <w:pStyle w:val="Compact"/>
      </w:pPr>
      <w:r>
        <w:rPr>
          <w:bCs/>
          <w:b/>
        </w:rPr>
        <w:t xml:space="preserve">Manufacturing (Scope 2):</w:t>
      </w:r>
      <w:r>
        <w:t xml:space="preserve"> </w:t>
      </w:r>
      <w:r>
        <w:t xml:space="preserve">Emissions from purchased electricity for production contribute significantly, emphasizing the need for renewable energy procurement and efficiency improvements at the production facility.</w:t>
      </w:r>
    </w:p>
    <w:p>
      <w:pPr>
        <w:numPr>
          <w:ilvl w:val="0"/>
          <w:numId w:val="1007"/>
        </w:numPr>
        <w:pStyle w:val="Compact"/>
      </w:pPr>
      <w:r>
        <w:rPr>
          <w:bCs/>
          <w:b/>
        </w:rPr>
        <w:t xml:space="preserve">Material Acquisition &amp; Processing (Scope 3 - Upstream):</w:t>
      </w:r>
      <w:r>
        <w:t xml:space="preserve"> </w:t>
      </w:r>
      <w:r>
        <w:t xml:space="preserve">The production of raw materials, particularly electronic components and plastics (due to their higher illustrative emission factors per kg), represents another substantial hotspot.</w:t>
      </w:r>
    </w:p>
    <w:bookmarkEnd w:id="35"/>
    <w:bookmarkStart w:id="36" w:name="reliability-and-limitations"/>
    <w:p>
      <w:pPr>
        <w:pStyle w:val="Heading3"/>
      </w:pPr>
      <w:r>
        <w:t xml:space="preserve">Reliability and Limitations</w:t>
      </w:r>
    </w:p>
    <w:p>
      <w:pPr>
        <w:pStyle w:val="FirstParagraph"/>
      </w:pPr>
      <w:r>
        <w:t xml:space="preserve">The reliability of this PCF analysis is directly tied to the accuracy and completeness of the input data. While the methodology adheres to GHG Protocol standards and aims for high detail, several parameters were provided as literal strings and required the use of illustrative, representative values (e.g., transport distances, energy consumption, renewable energy usage, recyclability, specific emission factors for materials, transport modes). The actual PCF may vary once precise, company-specific operational data and verified emission factors from robust databases (like Ecoinvent or DEFRA) are fully integrated. This report serves as a robust framework and provides strong indications of emission hotspots, enabling informed decision-making.</w:t>
      </w:r>
    </w:p>
    <w:p>
      <w:r>
        <w:pict>
          <v:rect style="width:0;height:1.5pt" o:hralign="center" o:hrstd="t" o:hr="t"/>
        </w:pict>
      </w:r>
    </w:p>
    <w:bookmarkEnd w:id="36"/>
    <w:bookmarkEnd w:id="37"/>
    <w:bookmarkStart w:id="38" w:name="conclusion"/>
    <w:p>
      <w:pPr>
        <w:pStyle w:val="Heading2"/>
      </w:pPr>
      <w:r>
        <w:t xml:space="preserve">Conclusion</w:t>
      </w:r>
    </w:p>
    <w:p>
      <w:pPr>
        <w:pStyle w:val="FirstParagraph"/>
      </w:pPr>
      <w:r>
        <w:t xml:space="preserve">The Product Carbon Footprint analysis for</w:t>
      </w:r>
      <w:r>
        <w:t xml:space="preserve"> </w:t>
      </w:r>
      <w:r>
        <w:rPr>
          <w:bCs/>
          <w:b/>
        </w:rPr>
        <w:t xml:space="preserve">whxpsxznyh</w:t>
      </w:r>
      <w:r>
        <w:t xml:space="preserve">, conducted by</w:t>
      </w:r>
      <w:r>
        <w:t xml:space="preserve"> </w:t>
      </w:r>
      <w:r>
        <w:rPr>
          <w:bCs/>
          <w:b/>
        </w:rPr>
        <w:t xml:space="preserve">plljynptkx</w:t>
      </w:r>
      <w:r>
        <w:t xml:space="preserve"> </w:t>
      </w:r>
      <w:r>
        <w:t xml:space="preserve">for</w:t>
      </w:r>
      <w:r>
        <w:t xml:space="preserve"> </w:t>
      </w:r>
      <w:r>
        <w:rPr>
          <w:bCs/>
          <w:b/>
        </w:rPr>
        <w:t xml:space="preserve">ntrygmvgpe</w:t>
      </w:r>
      <w:r>
        <w:t xml:space="preserve">, reveals an illustrative total PCF of approximately</w:t>
      </w:r>
      <w:r>
        <w:t xml:space="preserve"> </w:t>
      </w:r>
      <w:r>
        <w:rPr>
          <w:bCs/>
          <w:b/>
        </w:rPr>
        <w:t xml:space="preserve">31.181 kgCO2e per unit</w:t>
      </w:r>
      <w:r>
        <w:t xml:space="preserve">. The Use Phase emerges as the most significant contributor to the product\'s overall emissions, underscoring the importance of energy-efficient design and responsible consumer use. Material acquisition and manufacturing energy are also notable contributors. By focusing on these hotspots through strategic interventions in product design, renewable energy adoption, and supply chain engagement,</w:t>
      </w:r>
      <w:r>
        <w:t xml:space="preserve"> </w:t>
      </w:r>
      <w:r>
        <w:rPr>
          <w:bCs/>
          <w:b/>
        </w:rPr>
        <w:t xml:space="preserve">ntrygmvgpe</w:t>
      </w:r>
      <w:r>
        <w:t xml:space="preserve"> </w:t>
      </w:r>
      <w:r>
        <w:t xml:space="preserve">can significantly reduce the environmental impact of</w:t>
      </w:r>
      <w:r>
        <w:t xml:space="preserve"> </w:t>
      </w:r>
      <w:r>
        <w:rPr>
          <w:bCs/>
          <w:b/>
        </w:rPr>
        <w:t xml:space="preserve">whxpsxznyh</w:t>
      </w:r>
      <w:r>
        <w:t xml:space="preserve"> </w:t>
      </w:r>
      <w:r>
        <w:t xml:space="preserve">and advance its sustainability objectives in alignment with the GHG Protocol and evolving 2026 requirements.</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whxpsxznyh</dc:title>
  <dc:creator/>
  <dc:description>Detailed Product Carbon Footprint (PCF) analysis report for product whxpsxznyh, adhering to GHG Protocol and 2026 LSR update, performed by Senior Sustainability Consultant plljynptkx for ntrygmvgpe.</dc:description>
  <dc:language>en</dc:language>
  <cp:keywords/>
  <dcterms:created xsi:type="dcterms:W3CDTF">2026-07-15T14:43:36Z</dcterms:created>
  <dcterms:modified xsi:type="dcterms:W3CDTF">2026-07-15T14:43:36Z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