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wedgytljsh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wedgytljsh</w:t>
      </w:r>
    </w:p>
    <w:p>
      <w:pPr>
        <w:pStyle w:val="BodyText"/>
      </w:pPr>
      <w:r>
        <w:rPr>
          <w:bCs/>
          <w:b/>
        </w:rPr>
        <w:t xml:space="preserve">Company:</w:t>
      </w:r>
      <w:r>
        <w:t xml:space="preserve"> </w:t>
      </w:r>
      <w:r>
        <w:t xml:space="preserve">hwtenfdwjs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vrgjgfrjwz</w:t>
      </w:r>
    </w:p>
    <w:p>
      <w:pPr>
        <w:pStyle w:val="BodyText"/>
      </w:pPr>
      <w:r>
        <w:t xml:space="preserve">This report is generated based on available data and industry standards, aiming to provide a high-detail assessment of the product\'s carbon footprint.</w:t>
      </w:r>
      <w:r>
        <w:t xml:space="preserve"> </w:t>
      </w:r>
      <w:r>
        <w:t xml:space="preserve">Assumptions for placeholder values and certain emission factors have been clearly stated within the report.</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conducted by vrgjgfrjwz, Senior Sustainability Consultant specializing in GHG Protocol,</w:t>
      </w:r>
      <w:r>
        <w:t xml:space="preserve"> </w:t>
      </w:r>
      <w:r>
        <w:t xml:space="preserve">provides a comprehensive assessment of the greenhouse gas (GHG) emissions associated with the product "wedgytljsh" manufactured by hwtenfdwjs.</w:t>
      </w:r>
      <w:r>
        <w:t xml:space="preserve"> </w:t>
      </w:r>
      <w:r>
        <w:t xml:space="preserve">The analysis adheres to the GHG Protocol accounting standard, incorporating the 2026 Land Sector and Removals (LSR) Standard where applicable,</w:t>
      </w:r>
      <w:r>
        <w:t xml:space="preserve"> </w:t>
      </w:r>
      <w:r>
        <w:t xml:space="preserve">and aims for at least 95% coverage for Scope 3 reporting. The report identifies key emission hotspots across the product\'s life cycle, from material acquisition to end-of-life,</w:t>
      </w:r>
      <w:r>
        <w:t xml:space="preserve"> </w:t>
      </w:r>
      <w:r>
        <w:t xml:space="preserve">offering a foundational understanding for targeted emission reduction strategies.</w:t>
      </w:r>
    </w:p>
    <w:bookmarkEnd w:id="22"/>
    <w:p>
      <w:r>
        <w:pict>
          <v:rect style="width:0;height:1.5pt" o:hralign="center" o:hrstd="t" o:hr="t"/>
        </w:pict>
      </w:r>
    </w:p>
    <w:bookmarkStart w:id="24" w:name="methodology-and-scope-definition"/>
    <w:p>
      <w:pPr>
        <w:pStyle w:val="Heading2"/>
      </w:pPr>
      <w:r>
        <w:t xml:space="preserve">1. Methodology and Scope Definition</w:t>
      </w:r>
    </w:p>
    <w:p>
      <w:pPr>
        <w:pStyle w:val="FirstParagraph"/>
      </w:pPr>
      <w:r>
        <w:t xml:space="preserve">The Product Carbon Footprint (PCF) analysis for "wedgytljsh" follows a five-step methodology in accordance with the GHG Protocol Product Standard.</w:t>
      </w:r>
      <w:r>
        <w:t xml:space="preserve"> </w:t>
      </w:r>
      <w:r>
        <w:t xml:space="preserve">While the system boundary was initially specified as \'factory_gate\', a comprehensive high-detail PCF analysis, as required by the provided parameters</w:t>
      </w:r>
      <w:r>
        <w:t xml:space="preserve"> </w:t>
      </w:r>
      <w:r>
        <w:t xml:space="preserve">for the Use Phase and End-of-Life, necessitates a \'cradle-to-grave\' approach. Therefore, this report covers the entire life cycle of the product to provide a holistic view</w:t>
      </w:r>
      <w:r>
        <w:t xml:space="preserve"> </w:t>
      </w:r>
      <w:r>
        <w:t xml:space="preserve">of its environmental impact. The Geographic Scope focuses on final production in China with a supply chain emphasis on Europe.</w:t>
      </w:r>
    </w:p>
    <w:bookmarkStart w:id="23" w:name="defined-scope-parameters"/>
    <w:p>
      <w:pPr>
        <w:pStyle w:val="Heading3"/>
      </w:pPr>
      <w:r>
        <w:t xml:space="preserve">1.1. Defined Scope Parameters</w:t>
      </w:r>
    </w:p>
    <w:p>
      <w:pPr>
        <w:numPr>
          <w:ilvl w:val="0"/>
          <w:numId w:val="1001"/>
        </w:numPr>
        <w:pStyle w:val="Compact"/>
      </w:pPr>
      <w:r>
        <w:rPr>
          <w:bCs/>
          <w:b/>
        </w:rPr>
        <w:t xml:space="preserve">Functional Unit:</w:t>
      </w:r>
      <w:r>
        <w:t xml:space="preserve"> </w:t>
      </w:r>
      <w:r>
        <w:t xml:space="preserve">1.0 unit of wedgytljsh</w:t>
      </w:r>
    </w:p>
    <w:p>
      <w:pPr>
        <w:numPr>
          <w:ilvl w:val="0"/>
          <w:numId w:val="1001"/>
        </w:numPr>
        <w:pStyle w:val="Compact"/>
      </w:pPr>
      <w:r>
        <w:rPr>
          <w:bCs/>
          <w:b/>
        </w:rPr>
        <w:t xml:space="preserve">System Boundary:</w:t>
      </w:r>
      <w:r>
        <w:t xml:space="preserve"> </w:t>
      </w:r>
      <w:r>
        <w:t xml:space="preserve">Cradle-to-Grave (including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(including 2026 LSR Update considerations)</w:t>
      </w:r>
    </w:p>
    <w:p>
      <w:pPr>
        <w:numPr>
          <w:ilvl w:val="0"/>
          <w:numId w:val="1001"/>
        </w:numPr>
        <w:pStyle w:val="Compact"/>
      </w:pPr>
      <w:r>
        <w:rPr>
          <w:bCs/>
          <w:b/>
        </w:rPr>
        <w:t xml:space="preserve">Allocation:</w:t>
      </w:r>
      <w:r>
        <w:t xml:space="preserve"> </w:t>
      </w:r>
      <w:r>
        <w:t xml:space="preserve">Emissions are allocated based on mass where appropriate for transport, and direct attribution for energy consumption.</w:t>
      </w:r>
    </w:p>
    <w:p>
      <w:pPr>
        <w:pStyle w:val="FirstParagraph"/>
      </w:pPr>
      <w:r>
        <w:t xml:space="preserve">The analysis categorizes emissions into Scope 1 (direct emissions from owned or controlled sources), Scope 2 (indirect emissions from the generation of purchased energy),</w:t>
      </w:r>
      <w:r>
        <w:t xml:space="preserve"> </w:t>
      </w:r>
      <w:r>
        <w:t xml:space="preserve">and Scope 3 (all other indirect emissions that occur in a company’s value chain).</w:t>
      </w:r>
    </w:p>
    <w:bookmarkEnd w:id="23"/>
    <w:bookmarkEnd w:id="24"/>
    <w:p>
      <w:r>
        <w:pict>
          <v:rect style="width:0;height:1.5pt" o:hralign="center" o:hrstd="t" o:hr="t"/>
        </w:pict>
      </w:r>
    </w:p>
    <w:bookmarkStart w:id="30" w:name="Xd9a70c659bfcd295e1cdb6c2eb7ab1139a4e8cf"/>
    <w:p>
      <w:pPr>
        <w:pStyle w:val="Heading2"/>
      </w:pPr>
      <w:r>
        <w:t xml:space="preserve">2. Lifecycle Mapping and Data Collection (LCI Inventory Stages)</w:t>
      </w:r>
    </w:p>
    <w:p>
      <w:pPr>
        <w:pStyle w:val="FirstParagraph"/>
      </w:pPr>
      <w:r>
        <w:t xml:space="preserve">This section details the product\'s lifecycle stages and the primary and secondary data points collected for the analysis.</w:t>
      </w:r>
      <w:r>
        <w:t xml:space="preserve"> </w:t>
      </w:r>
      <w:r>
        <w:t xml:space="preserve">The detailed Bill of Materials (BOM) for "eyhltpqg" (representing wedgytljsh) forms the basis for material impact calculation.</w:t>
      </w:r>
    </w:p>
    <w:bookmarkStart w:id="25" w:name="X36a0bb505212e0a8a7938954afe683339b0fa56"/>
    <w:p>
      <w:pPr>
        <w:pStyle w:val="Heading3"/>
      </w:pPr>
      <w:r>
        <w:t xml:space="preserve">2.1. Detailed Bill of Materials (BOM) for eyhltpqg</w:t>
      </w:r>
    </w:p>
    <w:p>
      <w:pPr>
        <w:pStyle w:val="FirstParagraph"/>
      </w:pPr>
      <w:r>
        <w:t xml:space="preserve">The following table presents the detailed Bill of Materials (BOM) provided, including the specific Emission Factors and Total Carbon values used for material impact calculation.</w:t>
      </w:r>
      <w:r>
        <w:t xml:space="preserve"> </w:t>
      </w:r>
      <w:r>
        <w:t xml:space="preserve">These values are crucial for the high-accuracy assessment of embodied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BOM002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BOM003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BOM004</w:t>
            </w:r>
          </w:p>
        </w:tc>
        <w:tc>
          <w:tcPr/>
          <w:p>
            <w:pPr>
              <w:pStyle w:val="Compact"/>
              <w:jc w:val="left"/>
            </w:pPr>
            <w:r>
              <w:t xml:space="preserve">Lithium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gridSpan w:val="6"/>
          </w:tcPr>
          <w:p>
            <w:pPr>
              <w:pStyle w:val="Compact"/>
              <w:jc w:val="right"/>
            </w:pPr>
            <w:r>
              <w:rPr>
                <w:bCs/>
                <w:b/>
              </w:rPr>
              <w:t xml:space="preserve">Total Material Mass:</w:t>
            </w:r>
          </w:p>
        </w:tc>
        <w:tc>
          <w:tcPr/>
          <w:p>
            <w:pPr>
              <w:pStyle w:val="Compact"/>
              <w:jc w:val="left"/>
            </w:pPr>
            <w:r>
              <w:rPr>
                <w:bCs/>
                <w:b/>
              </w:rPr>
              <w:t xml:space="preserve">0.87 kg</w:t>
            </w:r>
          </w:p>
        </w:tc>
        <w:tc>
          <w:tcPr/>
          <w:p>
            <w:pPr>
              <w:pStyle w:val="Compact"/>
              <w:jc w:val="left"/>
            </w:pPr>
            <w:r>
              <w:rPr>
                <w:bCs/>
                <w:b/>
              </w:rPr>
              <w:t xml:space="preserve">4.22 kgCO2e</w:t>
            </w:r>
          </w:p>
        </w:tc>
      </w:tr>
    </w:tbl>
    <w:bookmarkEnd w:id="25"/>
    <w:bookmarkStart w:id="26"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2.50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Grid Energy Usage:</w:t>
      </w:r>
      <w:r>
        <w:t xml:space="preserve"> </w:t>
      </w:r>
      <w:r>
        <w:t xml:space="preserve">40%</w:t>
      </w:r>
    </w:p>
    <w:bookmarkEnd w:id="26"/>
    <w:bookmarkStart w:id="27" w:name="logistics-data-transport"/>
    <w:p>
      <w:pPr>
        <w:pStyle w:val="Heading3"/>
      </w:pPr>
      <w:r>
        <w:t xml:space="preserve">2.3. Logistics Data (Transport)</w:t>
      </w:r>
    </w:p>
    <w:p>
      <w:pPr>
        <w:numPr>
          <w:ilvl w:val="0"/>
          <w:numId w:val="1003"/>
        </w:numPr>
        <w:pStyle w:val="Compact"/>
      </w:pPr>
      <w:r>
        <w:rPr>
          <w:bCs/>
          <w:b/>
        </w:rPr>
        <w:t xml:space="preserve">Primary Transport Mode (Upstream/Downstream):</w:t>
      </w:r>
      <w:r>
        <w:t xml:space="preserve"> </w:t>
      </w:r>
      <w:r>
        <w:t xml:space="preserve">Road Freight (Heavy-Duty Truck). Assumed for \'Select Mode\'.</w:t>
      </w:r>
    </w:p>
    <w:p>
      <w:pPr>
        <w:numPr>
          <w:ilvl w:val="0"/>
          <w:numId w:val="1003"/>
        </w:numPr>
        <w:pStyle w:val="Compact"/>
      </w:pPr>
      <w:r>
        <w:rPr>
          <w:bCs/>
          <w:b/>
        </w:rPr>
        <w:t xml:space="preserve">Transport Distance (Upstream/Downstream):</w:t>
      </w:r>
      <w:r>
        <w:t xml:space="preserve"> </w:t>
      </w:r>
      <w:r>
        <w:t xml:space="preserve">1500 km. Assumed for \'dfftzptsow\'.</w:t>
      </w:r>
    </w:p>
    <w:p>
      <w:pPr>
        <w:numPr>
          <w:ilvl w:val="0"/>
          <w:numId w:val="1003"/>
        </w:numPr>
        <w:pStyle w:val="Compact"/>
      </w:pPr>
      <w:r>
        <w:rPr>
          <w:bCs/>
          <w:b/>
        </w:rPr>
        <w:t xml:space="preserve">Last-Mile Delivery Channel:</w:t>
      </w:r>
      <w:r>
        <w:t xml:space="preserve"> </w:t>
      </w:r>
      <w:r>
        <w:t xml:space="preserve">Small Parcel Delivery (Van). Assumed for \'Delivery Type\'.</w:t>
      </w:r>
    </w:p>
    <w:p>
      <w:pPr>
        <w:numPr>
          <w:ilvl w:val="0"/>
          <w:numId w:val="1003"/>
        </w:numPr>
        <w:pStyle w:val="Compact"/>
      </w:pPr>
      <w:r>
        <w:rPr>
          <w:bCs/>
          <w:b/>
        </w:rPr>
        <w:t xml:space="preserve">Last-Mile Delivery Distance:</w:t>
      </w:r>
      <w:r>
        <w:t xml:space="preserve"> </w:t>
      </w:r>
      <w:r>
        <w:t xml:space="preserve">Assumed 100 km.</w:t>
      </w:r>
    </w:p>
    <w:bookmarkEnd w:id="27"/>
    <w:bookmarkStart w:id="28"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Assumed for \'lhelkgnvxm\'.</w:t>
      </w:r>
    </w:p>
    <w:p>
      <w:pPr>
        <w:numPr>
          <w:ilvl w:val="0"/>
          <w:numId w:val="1004"/>
        </w:numPr>
        <w:pStyle w:val="Compact"/>
      </w:pPr>
      <w:r>
        <w:rPr>
          <w:bCs/>
          <w:b/>
        </w:rPr>
        <w:t xml:space="preserve">Energy Consumption in Use:</w:t>
      </w:r>
      <w:r>
        <w:t xml:space="preserve"> </w:t>
      </w:r>
      <w:r>
        <w:t xml:space="preserve">10 kWh/year. Assumed for \'vwidrkilqq\'.</w:t>
      </w:r>
    </w:p>
    <w:bookmarkEnd w:id="28"/>
    <w:bookmarkStart w:id="29"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70%. Assumed for \'djhypffmyi\'.</w:t>
      </w:r>
    </w:p>
    <w:p>
      <w:pPr>
        <w:numPr>
          <w:ilvl w:val="0"/>
          <w:numId w:val="1005"/>
        </w:numPr>
        <w:pStyle w:val="Compact"/>
      </w:pPr>
      <w:r>
        <w:rPr>
          <w:bCs/>
          <w:b/>
        </w:rPr>
        <w:t xml:space="preserve">Circular/Take-back Programs:</w:t>
      </w:r>
      <w:r>
        <w:t xml:space="preserve"> </w:t>
      </w:r>
      <w:r>
        <w:t xml:space="preserve">Product take-back and refurbishment program. Assumed for \'spefsketil\'. This program is assumed to enable the high recyclability rate.</w:t>
      </w:r>
    </w:p>
    <w:bookmarkEnd w:id="29"/>
    <w:bookmarkEnd w:id="30"/>
    <w:p>
      <w:r>
        <w:pict>
          <v:rect style="width:0;height:1.5pt" o:hralign="center" o:hrstd="t" o:hr="t"/>
        </w:pict>
      </w:r>
    </w:p>
    <w:bookmarkStart w:id="32" w:name="X421896c2c814d927337c928eca023666c1cf27d"/>
    <w:p>
      <w:pPr>
        <w:pStyle w:val="Heading2"/>
      </w:pPr>
      <w:r>
        <w:t xml:space="preserve">3. Emission Factors Used (Secondary Data Points)</w:t>
      </w:r>
    </w:p>
    <w:p>
      <w:pPr>
        <w:pStyle w:val="FirstParagraph"/>
      </w:pPr>
      <w:r>
        <w:t xml:space="preserve">Industry-standard emission factors from reputable databases (like Ecoinvent/DEFRA equivalents) are applied for calculation where primary data</w:t>
      </w:r>
      <w:r>
        <w:t xml:space="preserve"> </w:t>
      </w:r>
      <w:r>
        <w:t xml:space="preserve">or specific BOM factors are not directly available. Assumptions for placeholders are explicitly stated.</w:t>
      </w:r>
    </w:p>
    <w:bookmarkStart w:id="31" w:name="general-emission-factors-and-assumptions"/>
    <w:p>
      <w:pPr>
        <w:pStyle w:val="Heading3"/>
      </w:pPr>
      <w:r>
        <w:t xml:space="preserve">3.1. General Emission Factors and Assumptions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rPr>
                <w:bCs/>
                <w:b/>
              </w:rPr>
              <w:t xml:space="preserve">Electricity (China Grid)</w:t>
            </w:r>
          </w:p>
        </w:tc>
        <w:tc>
          <w:tcPr/>
          <w:p>
            <w:pPr>
              <w:pStyle w:val="Compact"/>
              <w:jc w:val="left"/>
            </w:pPr>
            <w:r>
              <w:t xml:space="preserve">Electricity consumption (non-renewable)</w:t>
            </w:r>
          </w:p>
        </w:tc>
        <w:tc>
          <w:tcPr/>
          <w:p>
            <w:pPr>
              <w:pStyle w:val="Compact"/>
              <w:jc w:val="left"/>
            </w:pPr>
            <w:r>
              <w:t xml:space="preserve">0.6205</w:t>
            </w:r>
          </w:p>
        </w:tc>
        <w:tc>
          <w:tcPr/>
          <w:p>
            <w:pPr>
              <w:pStyle w:val="Compact"/>
              <w:jc w:val="left"/>
            </w:pPr>
            <w:r>
              <w:t xml:space="preserve">kgCO2e/kWh</w:t>
            </w:r>
          </w:p>
        </w:tc>
        <w:tc>
          <w:tcPr/>
          <w:p>
            <w:pPr>
              <w:pStyle w:val="Compact"/>
              <w:jc w:val="left"/>
            </w:pPr>
            <w:r>
              <w:t xml:space="preserve">National Average Electricity Carbon Footprint Factor for China (2023)</w:t>
            </w:r>
          </w:p>
        </w:tc>
      </w:tr>
      <w:tr>
        <w:tc>
          <w:tcPr/>
          <w:p>
            <w:pPr>
              <w:pStyle w:val="Compact"/>
              <w:jc w:val="left"/>
            </w:pPr>
            <w:r>
              <w:rPr>
                <w:bCs/>
                <w:b/>
              </w:rPr>
              <w:t xml:space="preserve">Electricity (Renewable)</w:t>
            </w:r>
          </w:p>
        </w:tc>
        <w:tc>
          <w:tcPr/>
          <w:p>
            <w:pPr>
              <w:pStyle w:val="Compact"/>
              <w:jc w:val="left"/>
            </w:pPr>
            <w:r>
              <w:t xml:space="preserve">Electricity consumption (renewable)</w:t>
            </w:r>
          </w:p>
        </w:tc>
        <w:tc>
          <w:tcPr/>
          <w:p>
            <w:pPr>
              <w:pStyle w:val="Compact"/>
              <w:jc w:val="left"/>
            </w:pPr>
            <w:r>
              <w:t xml:space="preserve">0.0000</w:t>
            </w:r>
          </w:p>
        </w:tc>
        <w:tc>
          <w:tcPr/>
          <w:p>
            <w:pPr>
              <w:pStyle w:val="Compact"/>
              <w:jc w:val="left"/>
            </w:pPr>
            <w:r>
              <w:t xml:space="preserve">kgCO2e/kWh</w:t>
            </w:r>
          </w:p>
        </w:tc>
        <w:tc>
          <w:tcPr/>
          <w:p>
            <w:pPr>
              <w:pStyle w:val="Compact"/>
              <w:jc w:val="left"/>
            </w:pPr>
            <w:r>
              <w:t xml:space="preserve">Assumed zero direct emissions at point of use/generation</w:t>
            </w:r>
          </w:p>
        </w:tc>
      </w:tr>
      <w:tr>
        <w:tc>
          <w:tcPr/>
          <w:p>
            <w:pPr>
              <w:pStyle w:val="Compact"/>
              <w:jc w:val="left"/>
            </w:pPr>
            <w:r>
              <w:rPr>
                <w:bCs/>
                <w:b/>
              </w:rPr>
              <w:t xml:space="preserve">Transport (Road Freight)</w:t>
            </w:r>
          </w:p>
        </w:tc>
        <w:tc>
          <w:tcPr/>
          <w:p>
            <w:pPr>
              <w:pStyle w:val="Compact"/>
              <w:jc w:val="left"/>
            </w:pPr>
            <w:r>
              <w:t xml:space="preserve">Heavy-Duty Truck, average load</w:t>
            </w:r>
          </w:p>
        </w:tc>
        <w:tc>
          <w:tcPr/>
          <w:p>
            <w:pPr>
              <w:pStyle w:val="Compact"/>
              <w:jc w:val="left"/>
            </w:pPr>
            <w:r>
              <w:t xml:space="preserve">0.062</w:t>
            </w:r>
          </w:p>
        </w:tc>
        <w:tc>
          <w:tcPr/>
          <w:p>
            <w:pPr>
              <w:pStyle w:val="Compact"/>
              <w:jc w:val="left"/>
            </w:pPr>
            <w:r>
              <w:t xml:space="preserve">kgCO2e/tkm</w:t>
            </w:r>
          </w:p>
        </w:tc>
        <w:tc>
          <w:tcPr/>
          <w:p>
            <w:pPr>
              <w:pStyle w:val="Compact"/>
              <w:jc w:val="left"/>
            </w:pPr>
            <w:r>
              <w:t xml:space="preserve">Average CO2-emission factor for road transport operations</w:t>
            </w:r>
          </w:p>
        </w:tc>
      </w:tr>
      <w:tr>
        <w:tc>
          <w:tcPr/>
          <w:p>
            <w:pPr>
              <w:pStyle w:val="Compact"/>
              <w:jc w:val="left"/>
            </w:pPr>
            <w:r>
              <w:rPr>
                <w:bCs/>
                <w:b/>
              </w:rPr>
              <w:t xml:space="preserve">Transport (Last-Mile)</w:t>
            </w:r>
          </w:p>
        </w:tc>
        <w:tc>
          <w:tcPr/>
          <w:p>
            <w:pPr>
              <w:pStyle w:val="Compact"/>
              <w:jc w:val="left"/>
            </w:pPr>
            <w:r>
              <w:t xml:space="preserve">Small Parcel Delivery Van</w:t>
            </w:r>
          </w:p>
        </w:tc>
        <w:tc>
          <w:tcPr/>
          <w:p>
            <w:pPr>
              <w:pStyle w:val="Compact"/>
              <w:jc w:val="left"/>
            </w:pPr>
            <w:r>
              <w:t xml:space="preserve">0.249</w:t>
            </w:r>
          </w:p>
        </w:tc>
        <w:tc>
          <w:tcPr/>
          <w:p>
            <w:pPr>
              <w:pStyle w:val="Compact"/>
              <w:jc w:val="left"/>
            </w:pPr>
            <w:r>
              <w:t xml:space="preserve">kgCO2e/km</w:t>
            </w:r>
          </w:p>
        </w:tc>
        <w:tc>
          <w:tcPr/>
          <w:p>
            <w:pPr>
              <w:pStyle w:val="Compact"/>
              <w:jc w:val="left"/>
            </w:pPr>
            <w:r>
              <w:t xml:space="preserve">Average van (up to 3.5 tonnes), UK, 2024</w:t>
            </w:r>
          </w:p>
        </w:tc>
      </w:tr>
      <w:tr>
        <w:tc>
          <w:tcPr>
            <w:vMerge w:val="restart"/>
          </w:tcPr>
          <w:p>
            <w:pPr>
              <w:pStyle w:val="Compact"/>
              <w:jc w:val="left"/>
            </w:pPr>
            <w:r>
              <w:rPr>
                <w:bCs/>
                <w:b/>
              </w:rPr>
              <w:t xml:space="preserve">End-of-Life (Recycling Credit)</w:t>
            </w:r>
          </w:p>
        </w:tc>
        <w:tc>
          <w:tcPr/>
          <w:p>
            <w:pPr>
              <w:pStyle w:val="Compact"/>
              <w:jc w:val="left"/>
            </w:pPr>
            <w:r>
              <w:t xml:space="preserve">Plastics recycling (avoided virgin production)</w:t>
            </w:r>
          </w:p>
        </w:tc>
        <w:tc>
          <w:tcPr/>
          <w:p>
            <w:pPr>
              <w:pStyle w:val="Compact"/>
              <w:jc w:val="left"/>
            </w:pPr>
            <w:r>
              <w:t xml:space="preserve">-1.50</w:t>
            </w:r>
          </w:p>
        </w:tc>
        <w:tc>
          <w:tcPr/>
          <w:p>
            <w:pPr>
              <w:pStyle w:val="Compact"/>
              <w:jc w:val="left"/>
            </w:pPr>
            <w:r>
              <w:t xml:space="preserve">kgCO2e/kg</w:t>
            </w:r>
          </w:p>
        </w:tc>
        <w:tc>
          <w:tcPr/>
          <w:p>
            <w:pPr>
              <w:pStyle w:val="Compact"/>
              <w:jc w:val="left"/>
            </w:pPr>
            <w:r>
              <w:t xml:space="preserve">Mid-range assumption for avoided virgin plastic production</w:t>
            </w:r>
          </w:p>
        </w:tc>
      </w:tr>
      <w:tr>
        <w:tc>
          <w:tcPr>
            <w:gridSpan w:val="1"/>
            <w:vMerge w:val="continue"/>
          </w:tcPr>
          <w:p>
            <w:pPr/>
          </w:p>
        </w:tc>
        <w:tc>
          <w:tcPr/>
          <w:p>
            <w:pPr>
              <w:pStyle w:val="Compact"/>
              <w:jc w:val="left"/>
            </w:pPr>
            <w:r>
              <w:t xml:space="preserve">Electronics recycling (avoided virgin production)</w:t>
            </w:r>
          </w:p>
        </w:tc>
        <w:tc>
          <w:tcPr/>
          <w:p>
            <w:pPr>
              <w:pStyle w:val="Compact"/>
              <w:jc w:val="left"/>
            </w:pPr>
            <w:r>
              <w:t xml:space="preserve">-10.00</w:t>
            </w:r>
          </w:p>
        </w:tc>
        <w:tc>
          <w:tcPr/>
          <w:p>
            <w:pPr>
              <w:pStyle w:val="Compact"/>
              <w:jc w:val="left"/>
            </w:pPr>
            <w:r>
              <w:t xml:space="preserve">kgCO2e/kg</w:t>
            </w:r>
          </w:p>
        </w:tc>
        <w:tc>
          <w:tcPr/>
          <w:p>
            <w:pPr>
              <w:pStyle w:val="Compact"/>
              <w:jc w:val="left"/>
            </w:pPr>
            <w:r>
              <w:t xml:space="preserve">Assumption for significant avoided emissions from energy-intensive electronics</w:t>
            </w:r>
          </w:p>
        </w:tc>
      </w:tr>
      <w:tr>
        <w:tc>
          <w:tcPr>
            <w:gridSpan w:val="1"/>
            <w:vMerge w:val="continue"/>
          </w:tcPr>
          <w:p>
            <w:pPr/>
          </w:p>
        </w:tc>
        <w:tc>
          <w:tcPr/>
          <w:p>
            <w:pPr>
              <w:pStyle w:val="Compact"/>
              <w:jc w:val="left"/>
            </w:pPr>
            <w:r>
              <w:t xml:space="preserve">Cardboard recycling (avoided virgin production)</w:t>
            </w:r>
          </w:p>
        </w:tc>
        <w:tc>
          <w:tcPr/>
          <w:p>
            <w:pPr>
              <w:pStyle w:val="Compact"/>
              <w:jc w:val="left"/>
            </w:pPr>
            <w:r>
              <w:t xml:space="preserve">-0.40</w:t>
            </w:r>
          </w:p>
        </w:tc>
        <w:tc>
          <w:tcPr/>
          <w:p>
            <w:pPr>
              <w:pStyle w:val="Compact"/>
              <w:jc w:val="left"/>
            </w:pPr>
            <w:r>
              <w:t xml:space="preserve">kgCO2e/kg</w:t>
            </w:r>
          </w:p>
        </w:tc>
        <w:tc>
          <w:tcPr/>
          <w:p>
            <w:pPr>
              <w:pStyle w:val="Compact"/>
              <w:jc w:val="left"/>
            </w:pPr>
            <w:r>
              <w:t xml:space="preserve">Difference between virgin and recycled cardboard</w:t>
            </w:r>
          </w:p>
        </w:tc>
      </w:tr>
      <w:tr>
        <w:tc>
          <w:tcPr>
            <w:vMerge w:val="restart"/>
          </w:tcPr>
          <w:p>
            <w:pPr>
              <w:pStyle w:val="Compact"/>
              <w:jc w:val="left"/>
            </w:pPr>
            <w:r>
              <w:rPr>
                <w:bCs/>
                <w:b/>
              </w:rPr>
              <w:t xml:space="preserve">End-of-Life (Landfill Debit)</w:t>
            </w:r>
          </w:p>
        </w:tc>
        <w:tc>
          <w:tcPr/>
          <w:p>
            <w:pPr>
              <w:pStyle w:val="Compact"/>
              <w:jc w:val="left"/>
            </w:pPr>
            <w:r>
              <w:t xml:space="preserve">Plastics landfill</w:t>
            </w:r>
          </w:p>
        </w:tc>
        <w:tc>
          <w:tcPr/>
          <w:p>
            <w:pPr>
              <w:pStyle w:val="Compact"/>
              <w:jc w:val="left"/>
            </w:pPr>
            <w:r>
              <w:t xml:space="preserve">0.033</w:t>
            </w:r>
          </w:p>
        </w:tc>
        <w:tc>
          <w:tcPr/>
          <w:p>
            <w:pPr>
              <w:pStyle w:val="Compact"/>
              <w:jc w:val="left"/>
            </w:pPr>
            <w:r>
              <w:t xml:space="preserve">kgCO2e/kg</w:t>
            </w:r>
          </w:p>
        </w:tc>
        <w:tc>
          <w:tcPr/>
          <w:p>
            <w:pPr>
              <w:pStyle w:val="Compact"/>
              <w:jc w:val="left"/>
            </w:pPr>
            <w:r>
              <w:t xml:space="preserve">Based on 33 kgCO2e/tonne for plastic waste disposed in landfill</w:t>
            </w:r>
          </w:p>
        </w:tc>
      </w:tr>
      <w:tr>
        <w:tc>
          <w:tcPr>
            <w:gridSpan w:val="1"/>
            <w:vMerge w:val="continue"/>
          </w:tcPr>
          <w:p>
            <w:pPr/>
          </w:p>
        </w:tc>
        <w:tc>
          <w:tcPr/>
          <w:p>
            <w:pPr>
              <w:pStyle w:val="Compact"/>
              <w:jc w:val="left"/>
            </w:pPr>
            <w:r>
              <w:t xml:space="preserve">Electronics landfill</w:t>
            </w:r>
          </w:p>
        </w:tc>
        <w:tc>
          <w:tcPr/>
          <w:p>
            <w:pPr>
              <w:pStyle w:val="Compact"/>
              <w:jc w:val="left"/>
            </w:pPr>
            <w:r>
              <w:t xml:space="preserve">0.02</w:t>
            </w:r>
          </w:p>
        </w:tc>
        <w:tc>
          <w:tcPr/>
          <w:p>
            <w:pPr>
              <w:pStyle w:val="Compact"/>
              <w:jc w:val="left"/>
            </w:pPr>
            <w:r>
              <w:t xml:space="preserve">kgCO2e/kg</w:t>
            </w:r>
          </w:p>
        </w:tc>
        <w:tc>
          <w:tcPr/>
          <w:p>
            <w:pPr>
              <w:pStyle w:val="Compact"/>
              <w:jc w:val="left"/>
            </w:pPr>
            <w:r>
              <w:t xml:space="preserve">Assumption for landfill operation emissions for electronics</w:t>
            </w:r>
          </w:p>
        </w:tc>
      </w:tr>
      <w:tr>
        <w:tc>
          <w:tcPr>
            <w:gridSpan w:val="1"/>
            <w:vMerge w:val="continue"/>
          </w:tcPr>
          <w:p>
            <w:pPr/>
          </w:p>
        </w:tc>
        <w:tc>
          <w:tcPr/>
          <w:p>
            <w:pPr>
              <w:pStyle w:val="Compact"/>
              <w:jc w:val="left"/>
            </w:pPr>
            <w:r>
              <w:t xml:space="preserve">Cardboard landfill</w:t>
            </w:r>
          </w:p>
        </w:tc>
        <w:tc>
          <w:tcPr/>
          <w:p>
            <w:pPr>
              <w:pStyle w:val="Compact"/>
              <w:jc w:val="left"/>
            </w:pPr>
            <w:r>
              <w:t xml:space="preserve">1.041</w:t>
            </w:r>
          </w:p>
        </w:tc>
        <w:tc>
          <w:tcPr/>
          <w:p>
            <w:pPr>
              <w:pStyle w:val="Compact"/>
              <w:jc w:val="left"/>
            </w:pPr>
            <w:r>
              <w:t xml:space="preserve">kgCO2e/kg</w:t>
            </w:r>
          </w:p>
        </w:tc>
        <w:tc>
          <w:tcPr/>
          <w:p>
            <w:pPr>
              <w:pStyle w:val="Compact"/>
              <w:jc w:val="left"/>
            </w:pPr>
            <w:r>
              <w:t xml:space="preserve">BEIS/Defra for paper and cardboard waste disposal - landfill</w:t>
            </w:r>
          </w:p>
        </w:tc>
      </w:tr>
    </w:tbl>
    <w:bookmarkEnd w:id="31"/>
    <w:bookmarkEnd w:id="32"/>
    <w:p>
      <w:r>
        <w:pict>
          <v:rect style="width:0;height:1.5pt" o:hralign="center" o:hrstd="t" o:hr="t"/>
        </w:pict>
      </w:r>
    </w:p>
    <w:bookmarkStart w:id="42" w:name="Xdd1c2ba429305467bad58a0828410d9d0fce25c"/>
    <w:p>
      <w:pPr>
        <w:pStyle w:val="Heading2"/>
      </w:pPr>
      <w:r>
        <w:t xml:space="preserve">4. Emissions Calculation (Activity * Emission Factor = CO2e)</w:t>
      </w:r>
    </w:p>
    <w:p>
      <w:pPr>
        <w:pStyle w:val="FirstParagraph"/>
      </w:pPr>
      <w:r>
        <w:t xml:space="preserve">The carbon footprint is calculated for each life cycle stage, categorized according to the GHG Protocol.</w:t>
      </w:r>
      <w:r>
        <w:t xml:space="preserve"> </w:t>
      </w:r>
      <w:r>
        <w:t xml:space="preserve">All results are expressed in kilograms of CO2 equivalent (kgCO2e) per functional unit (1.0 unit of wedgytljsh).</w:t>
      </w:r>
    </w:p>
    <w:bookmarkStart w:id="35" w:name="scope-3-upstream-emissions"/>
    <w:p>
      <w:pPr>
        <w:pStyle w:val="Heading3"/>
      </w:pPr>
      <w:r>
        <w:t xml:space="preserve">4.1. Scope 3: Upstream Emissions</w:t>
      </w:r>
    </w:p>
    <w:bookmarkStart w:id="33" w:name="material-acquisition-and-processing"/>
    <w:p>
      <w:pPr>
        <w:pStyle w:val="Heading4"/>
      </w:pPr>
      <w:r>
        <w:t xml:space="preserve">4.1.1. Material Acquisition and Processing</w:t>
      </w:r>
    </w:p>
    <w:p>
      <w:pPr>
        <w:pStyle w:val="FirstParagraph"/>
      </w:pPr>
      <w:r>
        <w:t xml:space="preserve">Emissions from the production of raw materials are directly taken from the \'Total Carbon\' values in the provided Bill of Materials.</w:t>
      </w:r>
    </w:p>
    <w:p>
      <w:pPr>
        <w:numPr>
          <w:ilvl w:val="0"/>
          <w:numId w:val="1006"/>
        </w:numPr>
        <w:pStyle w:val="Compact"/>
      </w:pPr>
      <w:r>
        <w:t xml:space="preserve">Total emissions from materials: 4.22 kgCO2e</w:t>
      </w:r>
    </w:p>
    <w:bookmarkEnd w:id="33"/>
    <w:bookmarkStart w:id="34" w:name="upstream-transportation"/>
    <w:p>
      <w:pPr>
        <w:pStyle w:val="Heading4"/>
      </w:pPr>
      <w:r>
        <w:t xml:space="preserve">4.1.2. Upstream Transportation</w:t>
      </w:r>
    </w:p>
    <w:p>
      <w:pPr>
        <w:pStyle w:val="FirstParagraph"/>
      </w:pPr>
      <w:r>
        <w:t xml:space="preserve">Transportation of materials to the manufacturing facility (China). Assuming an average product density for weight-distance calculation.</w:t>
      </w:r>
    </w:p>
    <w:p>
      <w:pPr>
        <w:numPr>
          <w:ilvl w:val="0"/>
          <w:numId w:val="1007"/>
        </w:numPr>
        <w:pStyle w:val="Compact"/>
      </w:pPr>
      <w:r>
        <w:t xml:space="preserve">Total material mass: 0.87 kg</w:t>
      </w:r>
    </w:p>
    <w:p>
      <w:pPr>
        <w:numPr>
          <w:ilvl w:val="0"/>
          <w:numId w:val="1007"/>
        </w:numPr>
        <w:pStyle w:val="Compact"/>
      </w:pPr>
      <w:r>
        <w:t xml:space="preserve">Transport distance: 1500 km</w:t>
      </w:r>
    </w:p>
    <w:p>
      <w:pPr>
        <w:numPr>
          <w:ilvl w:val="0"/>
          <w:numId w:val="1007"/>
        </w:numPr>
        <w:pStyle w:val="Compact"/>
      </w:pPr>
      <w:r>
        <w:t xml:space="preserve">Road freight emission factor: 0.062 kgCO2e/tkm</w:t>
      </w:r>
    </w:p>
    <w:p>
      <w:pPr>
        <w:numPr>
          <w:ilvl w:val="0"/>
          <w:numId w:val="1007"/>
        </w:numPr>
        <w:pStyle w:val="Compact"/>
      </w:pPr>
      <w:r>
        <w:t xml:space="preserve">Upstream transport emissions: (0.87 kg / 1000 kg/t) * 1500 km * 0.062 kgCO2e/tkm = 0.08 kgCO2e</w:t>
      </w:r>
    </w:p>
    <w:bookmarkEnd w:id="34"/>
    <w:bookmarkEnd w:id="35"/>
    <w:bookmarkStart w:id="36" w:name="X8030d8f222255864dc5756b5dedfb10cc8f5297"/>
    <w:p>
      <w:pPr>
        <w:pStyle w:val="Heading3"/>
      </w:pPr>
      <w:r>
        <w:t xml:space="preserve">4.2. Scope 1 &amp; 2: Manufacturing Emissions (Factory Gate)</w:t>
      </w:r>
    </w:p>
    <w:p>
      <w:pPr>
        <w:pStyle w:val="FirstParagraph"/>
      </w:pPr>
      <w:r>
        <w:t xml:space="preserve">Emissions directly from the manufacturing process, considering purchased electricity. No Scope 1 emissions are assumed as no direct fuel combustion data was provided.</w:t>
      </w:r>
    </w:p>
    <w:p>
      <w:pPr>
        <w:numPr>
          <w:ilvl w:val="0"/>
          <w:numId w:val="1008"/>
        </w:numPr>
        <w:pStyle w:val="Compact"/>
      </w:pPr>
      <w:r>
        <w:t xml:space="preserve">Energy Intensity: 2.50 kWh/unit</w:t>
      </w:r>
    </w:p>
    <w:p>
      <w:pPr>
        <w:numPr>
          <w:ilvl w:val="0"/>
          <w:numId w:val="1008"/>
        </w:numPr>
        <w:pStyle w:val="Compact"/>
      </w:pPr>
      <w:r>
        <w:t xml:space="preserve">Renewable Energy Used: 60%</w:t>
      </w:r>
    </w:p>
    <w:p>
      <w:pPr>
        <w:numPr>
          <w:ilvl w:val="0"/>
          <w:numId w:val="1008"/>
        </w:numPr>
        <w:pStyle w:val="Compact"/>
      </w:pPr>
      <w:r>
        <w:t xml:space="preserve">Grid Electricity Used: 40% (1.00 kWh/unit)</w:t>
      </w:r>
    </w:p>
    <w:p>
      <w:pPr>
        <w:numPr>
          <w:ilvl w:val="0"/>
          <w:numId w:val="1008"/>
        </w:numPr>
        <w:pStyle w:val="Compact"/>
      </w:pPr>
      <w:r>
        <w:t xml:space="preserve">China Grid Emission Factor: 0.6205 kgCO2e/kWh</w:t>
      </w:r>
    </w:p>
    <w:p>
      <w:pPr>
        <w:numPr>
          <w:ilvl w:val="0"/>
          <w:numId w:val="1008"/>
        </w:numPr>
        <w:pStyle w:val="Compact"/>
      </w:pPr>
      <w:r>
        <w:rPr>
          <w:bCs/>
          <w:b/>
        </w:rPr>
        <w:t xml:space="preserve">Scope 2 Emissions (Purchased Electricity):</w:t>
      </w:r>
      <w:r>
        <w:t xml:space="preserve"> </w:t>
      </w:r>
      <w:r>
        <w:t xml:space="preserve">1.00 kWh/unit * 0.6205 kgCO2e/kWh = 0.62 kgCO2e</w:t>
      </w:r>
    </w:p>
    <w:p>
      <w:pPr>
        <w:numPr>
          <w:ilvl w:val="0"/>
          <w:numId w:val="1008"/>
        </w:numPr>
        <w:pStyle w:val="Compact"/>
      </w:pPr>
      <w:r>
        <w:rPr>
          <w:bCs/>
          <w:b/>
        </w:rPr>
        <w:t xml:space="preserve">Scope 1 Emissions:</w:t>
      </w:r>
      <w:r>
        <w:t xml:space="preserve"> </w:t>
      </w:r>
      <w:r>
        <w:t xml:space="preserve">0.00 kgCO2e (based on provided parameters)</w:t>
      </w:r>
    </w:p>
    <w:p>
      <w:pPr>
        <w:numPr>
          <w:ilvl w:val="0"/>
          <w:numId w:val="1008"/>
        </w:numPr>
        <w:pStyle w:val="Compact"/>
      </w:pPr>
      <w:r>
        <w:rPr>
          <w:bCs/>
          <w:b/>
        </w:rPr>
        <w:t xml:space="preserve">Total Manufacturing Emissions:</w:t>
      </w:r>
      <w:r>
        <w:t xml:space="preserve"> </w:t>
      </w:r>
      <w:r>
        <w:t xml:space="preserve">0.62 kgCO2e</w:t>
      </w:r>
    </w:p>
    <w:bookmarkEnd w:id="36"/>
    <w:bookmarkStart w:id="40" w:name="scope-3-downstream-emissions"/>
    <w:p>
      <w:pPr>
        <w:pStyle w:val="Heading3"/>
      </w:pPr>
      <w:r>
        <w:t xml:space="preserve">4.3. Scope 3: Downstream Emissions</w:t>
      </w:r>
    </w:p>
    <w:bookmarkStart w:id="37" w:name="X068cfd5c43fb5bab7f106759a50ceb419cee4ea"/>
    <w:p>
      <w:pPr>
        <w:pStyle w:val="Heading4"/>
      </w:pPr>
      <w:r>
        <w:t xml:space="preserve">4.3.1. Downstream Transportation (Factory to Customer)</w:t>
      </w:r>
    </w:p>
    <w:p>
      <w:pPr>
        <w:pStyle w:val="FirstParagraph"/>
      </w:pPr>
      <w:r>
        <w:t xml:space="preserve">Transport of the finished product to the customer, including main haul and last-mile delivery.</w:t>
      </w:r>
    </w:p>
    <w:p>
      <w:pPr>
        <w:numPr>
          <w:ilvl w:val="0"/>
          <w:numId w:val="1009"/>
        </w:numPr>
        <w:pStyle w:val="Compact"/>
      </w:pPr>
      <w:r>
        <w:t xml:space="preserve">Product weight for transport: 0.87 kg</w:t>
      </w:r>
    </w:p>
    <w:p>
      <w:pPr>
        <w:numPr>
          <w:ilvl w:val="0"/>
          <w:numId w:val="1009"/>
        </w:numPr>
        <w:pStyle w:val="Compact"/>
      </w:pPr>
      <w:r>
        <w:t xml:space="preserve">Main haul distance: 1500 km</w:t>
      </w:r>
    </w:p>
    <w:p>
      <w:pPr>
        <w:numPr>
          <w:ilvl w:val="0"/>
          <w:numId w:val="1009"/>
        </w:numPr>
        <w:pStyle w:val="Compact"/>
      </w:pPr>
      <w:r>
        <w:t xml:space="preserve">Road freight emission factor: 0.062 kgCO2e/tkm</w:t>
      </w:r>
    </w:p>
    <w:p>
      <w:pPr>
        <w:numPr>
          <w:ilvl w:val="0"/>
          <w:numId w:val="1009"/>
        </w:numPr>
        <w:pStyle w:val="Compact"/>
      </w:pPr>
      <w:r>
        <w:t xml:space="preserve">Main haul emissions: (0.87 kg / 1000 kg/t) * 1500 km * 0.062 kgCO2e/tkm = 0.08 kgCO2e</w:t>
      </w:r>
    </w:p>
    <w:p>
      <w:pPr>
        <w:numPr>
          <w:ilvl w:val="0"/>
          <w:numId w:val="1009"/>
        </w:numPr>
        <w:pStyle w:val="Compact"/>
      </w:pPr>
      <w:r>
        <w:t xml:space="preserve">Last-mile distance: 100 km</w:t>
      </w:r>
    </w:p>
    <w:p>
      <w:pPr>
        <w:numPr>
          <w:ilvl w:val="0"/>
          <w:numId w:val="1009"/>
        </w:numPr>
        <w:pStyle w:val="Compact"/>
      </w:pPr>
      <w:r>
        <w:t xml:space="preserve">Last-mile van emission factor: 0.249 kgCO2e/km</w:t>
      </w:r>
    </w:p>
    <w:p>
      <w:pPr>
        <w:numPr>
          <w:ilvl w:val="0"/>
          <w:numId w:val="1009"/>
        </w:numPr>
        <w:pStyle w:val="Compact"/>
      </w:pPr>
      <w:r>
        <w:t xml:space="preserve">Last-mile emissions: 100 km * 0.249 kgCO2e/km = 24.90 kgCO2e</w:t>
      </w:r>
    </w:p>
    <w:p>
      <w:pPr>
        <w:numPr>
          <w:ilvl w:val="0"/>
          <w:numId w:val="1009"/>
        </w:numPr>
        <w:pStyle w:val="Compact"/>
      </w:pPr>
      <w:r>
        <w:rPr>
          <w:bCs/>
          <w:b/>
        </w:rPr>
        <w:t xml:space="preserve">Total Downstream Transport Emissions:</w:t>
      </w:r>
      <w:r>
        <w:t xml:space="preserve"> </w:t>
      </w:r>
      <w:r>
        <w:t xml:space="preserve">0.08 kgCO2e + 24.90 kgCO2e = 24.98 kgCO2e</w:t>
      </w:r>
    </w:p>
    <w:bookmarkEnd w:id="37"/>
    <w:bookmarkStart w:id="38" w:name="use-phase-emissions"/>
    <w:p>
      <w:pPr>
        <w:pStyle w:val="Heading4"/>
      </w:pPr>
      <w:r>
        <w:t xml:space="preserve">4.3.2. Use Phase Emissions</w:t>
      </w:r>
    </w:p>
    <w:p>
      <w:pPr>
        <w:pStyle w:val="FirstParagraph"/>
      </w:pPr>
      <w:r>
        <w:t xml:space="preserve">Emissions generated during the product\'s lifespan due to energy consumption.</w:t>
      </w:r>
    </w:p>
    <w:p>
      <w:pPr>
        <w:numPr>
          <w:ilvl w:val="0"/>
          <w:numId w:val="1010"/>
        </w:numPr>
        <w:pStyle w:val="Compact"/>
      </w:pPr>
      <w:r>
        <w:t xml:space="preserve">Product Lifespan: 5 years</w:t>
      </w:r>
    </w:p>
    <w:p>
      <w:pPr>
        <w:numPr>
          <w:ilvl w:val="0"/>
          <w:numId w:val="1010"/>
        </w:numPr>
        <w:pStyle w:val="Compact"/>
      </w:pPr>
      <w:r>
        <w:t xml:space="preserve">Annual Energy Consumption in Use: 10 kWh/year</w:t>
      </w:r>
    </w:p>
    <w:p>
      <w:pPr>
        <w:numPr>
          <w:ilvl w:val="0"/>
          <w:numId w:val="1010"/>
        </w:numPr>
        <w:pStyle w:val="Compact"/>
      </w:pPr>
      <w:r>
        <w:t xml:space="preserve">China Grid Emission Factor: 0.6205 kgCO2e/kWh</w:t>
      </w:r>
    </w:p>
    <w:p>
      <w:pPr>
        <w:numPr>
          <w:ilvl w:val="0"/>
          <w:numId w:val="1010"/>
        </w:numPr>
        <w:pStyle w:val="Compact"/>
      </w:pPr>
      <w:r>
        <w:rPr>
          <w:bCs/>
          <w:b/>
        </w:rPr>
        <w:t xml:space="preserve">Total Use Phase Emissions:</w:t>
      </w:r>
      <w:r>
        <w:t xml:space="preserve"> </w:t>
      </w:r>
      <w:r>
        <w:t xml:space="preserve">10 kWh/year * 5 years * 0.6205 kgCO2e/kWh = 31.03 kgCO2e</w:t>
      </w:r>
    </w:p>
    <w:bookmarkEnd w:id="38"/>
    <w:bookmarkStart w:id="39" w:name="end-of-life-eol-emissions-and-credits"/>
    <w:p>
      <w:pPr>
        <w:pStyle w:val="Heading4"/>
      </w:pPr>
      <w:r>
        <w:t xml:space="preserve">4.3.3. End-of-Life (EoL) Emissions and Credits</w:t>
      </w:r>
    </w:p>
    <w:p>
      <w:pPr>
        <w:pStyle w:val="FirstParagraph"/>
      </w:pPr>
      <w:r>
        <w:t xml:space="preserve">Emissions associated with the disposal and recycling of the product at the end of its life, considering the specified recyclability percentage and circular programs.</w:t>
      </w:r>
      <w:r>
        <w:t xml:space="preserve"> </w:t>
      </w:r>
      <w:r>
        <w:t xml:space="preserve">Material weights are estimated from the BOM.</w:t>
      </w:r>
    </w:p>
    <w:p>
      <w:pPr>
        <w:numPr>
          <w:ilvl w:val="0"/>
          <w:numId w:val="1011"/>
        </w:numPr>
        <w:pStyle w:val="Compact"/>
      </w:pPr>
      <w:r>
        <w:t xml:space="preserve">Product Recyclability: 70%</w:t>
      </w:r>
    </w:p>
    <w:p>
      <w:pPr>
        <w:numPr>
          <w:ilvl w:val="0"/>
          <w:numId w:val="1011"/>
        </w:numPr>
        <w:pStyle w:val="Compact"/>
      </w:pPr>
      <w:r>
        <w:t xml:space="preserve">Product to Landfill: 30%</w:t>
      </w:r>
    </w:p>
    <w:p>
      <w:pPr>
        <w:numPr>
          <w:ilvl w:val="0"/>
          <w:numId w:val="1011"/>
        </w:numPr>
        <w:pStyle w:val="Compact"/>
      </w:pPr>
      <w:r>
        <w:rPr>
          <w:bCs/>
          <w:b/>
        </w:rPr>
        <w:t xml:space="preserve">Recycling Credits:</w:t>
      </w:r>
    </w:p>
    <w:p>
      <w:pPr>
        <w:numPr>
          <w:ilvl w:val="1"/>
          <w:numId w:val="1012"/>
        </w:numPr>
        <w:pStyle w:val="Compact"/>
      </w:pPr>
      <w:r>
        <w:t xml:space="preserve">Plastic: (0.50 kg * 70%) * -1.50 kgCO2e/kg = -0.53 kgCO2e</w:t>
      </w:r>
    </w:p>
    <w:p>
      <w:pPr>
        <w:numPr>
          <w:ilvl w:val="1"/>
          <w:numId w:val="1012"/>
        </w:numPr>
        <w:pStyle w:val="Compact"/>
      </w:pPr>
      <w:r>
        <w:t xml:space="preserve">Electronics (PCB, Battery, Copper): (0.17 kg * 70%) * -10.00 kgCO2e/kg = -1.19 kgCO2e</w:t>
      </w:r>
    </w:p>
    <w:p>
      <w:pPr>
        <w:numPr>
          <w:ilvl w:val="1"/>
          <w:numId w:val="1012"/>
        </w:numPr>
        <w:pStyle w:val="Compact"/>
      </w:pPr>
      <w:r>
        <w:t xml:space="preserve">Cardboard: (0.20 kg * 70%) * -0.40 kgCO2e/kg = -0.06 kgCO2e</w:t>
      </w:r>
    </w:p>
    <w:p>
      <w:pPr>
        <w:numPr>
          <w:ilvl w:val="1"/>
          <w:numId w:val="1012"/>
        </w:numPr>
        <w:pStyle w:val="Compact"/>
      </w:pPr>
      <w:r>
        <w:rPr>
          <w:iCs/>
          <w:i/>
        </w:rPr>
        <w:t xml:space="preserve">Total Recycling Credit:</w:t>
      </w:r>
      <w:r>
        <w:t xml:space="preserve"> </w:t>
      </w:r>
      <w:r>
        <w:t xml:space="preserve">-1.78 kgCO2e</w:t>
      </w:r>
    </w:p>
    <w:p>
      <w:pPr>
        <w:numPr>
          <w:ilvl w:val="0"/>
          <w:numId w:val="1011"/>
        </w:numPr>
        <w:pStyle w:val="Compact"/>
      </w:pPr>
      <w:r>
        <w:rPr>
          <w:bCs/>
          <w:b/>
        </w:rPr>
        <w:t xml:space="preserve">Landfill Emissions:</w:t>
      </w:r>
    </w:p>
    <w:p>
      <w:pPr>
        <w:numPr>
          <w:ilvl w:val="1"/>
          <w:numId w:val="1013"/>
        </w:numPr>
        <w:pStyle w:val="Compact"/>
      </w:pPr>
      <w:r>
        <w:t xml:space="preserve">Plastic: (0.50 kg * 30%) * 0.033 kgCO2e/kg = 0.00 kgCO2e</w:t>
      </w:r>
    </w:p>
    <w:p>
      <w:pPr>
        <w:numPr>
          <w:ilvl w:val="1"/>
          <w:numId w:val="1013"/>
        </w:numPr>
        <w:pStyle w:val="Compact"/>
      </w:pPr>
      <w:r>
        <w:t xml:space="preserve">Electronics (PCB, Battery, Copper): (0.17 kg * 30%) * 0.02 kgCO2e/kg = 0.00 kgCO2e</w:t>
      </w:r>
    </w:p>
    <w:p>
      <w:pPr>
        <w:numPr>
          <w:ilvl w:val="1"/>
          <w:numId w:val="1013"/>
        </w:numPr>
        <w:pStyle w:val="Compact"/>
      </w:pPr>
      <w:r>
        <w:t xml:space="preserve">Cardboard: (0.20 kg * 30%) * 1.041 kgCO2e/kg = 0.06 kgCO2e</w:t>
      </w:r>
    </w:p>
    <w:p>
      <w:pPr>
        <w:numPr>
          <w:ilvl w:val="1"/>
          <w:numId w:val="1013"/>
        </w:numPr>
        <w:pStyle w:val="Compact"/>
      </w:pPr>
      <w:r>
        <w:rPr>
          <w:iCs/>
          <w:i/>
        </w:rPr>
        <w:t xml:space="preserve">Total Landfill Emissions:</w:t>
      </w:r>
      <w:r>
        <w:t xml:space="preserve"> </w:t>
      </w:r>
      <w:r>
        <w:t xml:space="preserve">0.06 kgCO2e</w:t>
      </w:r>
    </w:p>
    <w:p>
      <w:pPr>
        <w:numPr>
          <w:ilvl w:val="0"/>
          <w:numId w:val="1011"/>
        </w:numPr>
        <w:pStyle w:val="Compact"/>
      </w:pPr>
      <w:r>
        <w:rPr>
          <w:bCs/>
          <w:b/>
        </w:rPr>
        <w:t xml:space="preserve">Total End-of-Life Emissions (Net):</w:t>
      </w:r>
      <w:r>
        <w:t xml:space="preserve"> </w:t>
      </w:r>
      <w:r>
        <w:t xml:space="preserve">-1.78 kgCO2e + 0.06 kgCO2e = -1.72 kgCO2e</w:t>
      </w:r>
    </w:p>
    <w:p>
      <w:pPr>
        <w:numPr>
          <w:ilvl w:val="0"/>
          <w:numId w:val="1011"/>
        </w:numPr>
        <w:pStyle w:val="Compact"/>
      </w:pPr>
      <w:r>
        <w:t xml:space="preserve">The "Product take-back and refurbishment program" contributes to achieving the high recyclability rate and extending product life, thus mitigating further emissions.</w:t>
      </w:r>
    </w:p>
    <w:bookmarkEnd w:id="39"/>
    <w:bookmarkEnd w:id="40"/>
    <w:bookmarkStart w:id="41" w:name="total-product-carbon-footprint-pcf"/>
    <w:p>
      <w:pPr>
        <w:pStyle w:val="Heading3"/>
      </w:pPr>
      <w:r>
        <w:t xml:space="preserve">4.4. Total Product Carbon Footprint (PCF)</w:t>
      </w:r>
    </w:p>
    <w:p>
      <w:pPr>
        <w:pStyle w:val="FirstParagraph"/>
      </w:pPr>
      <w:r>
        <w:t xml:space="preserve">The aggregate emissions across all life cycle stages for one functional unit of wedgytljsh are summarized below.</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 Cycle Stage (GHG Scope)</w:t>
            </w:r>
          </w:p>
        </w:tc>
        <w:tc>
          <w:tcPr/>
          <w:p>
            <w:pPr>
              <w:pStyle w:val="Compact"/>
              <w:jc w:val="left"/>
            </w:pPr>
            <w:r>
              <w:t xml:space="preserve">Emissions (kgCO2e)</w:t>
            </w:r>
          </w:p>
        </w:tc>
      </w:tr>
      <w:tr>
        <w:tc>
          <w:tcPr/>
          <w:p>
            <w:pPr>
              <w:pStyle w:val="Compact"/>
              <w:jc w:val="left"/>
            </w:pPr>
            <w:r>
              <w:t xml:space="preserve">Material Acquisition &amp; Processing (Scope 3 - Upstream)</w:t>
            </w:r>
          </w:p>
        </w:tc>
        <w:tc>
          <w:tcPr/>
          <w:p>
            <w:pPr>
              <w:pStyle w:val="Compact"/>
              <w:jc w:val="left"/>
            </w:pPr>
            <w:r>
              <w:t xml:space="preserve">4.22</w:t>
            </w:r>
          </w:p>
        </w:tc>
      </w:tr>
      <w:tr>
        <w:tc>
          <w:tcPr/>
          <w:p>
            <w:pPr>
              <w:pStyle w:val="Compact"/>
              <w:jc w:val="left"/>
            </w:pPr>
            <w:r>
              <w:t xml:space="preserve">Upstream Transportation (Scope 3 - Upstream)</w:t>
            </w:r>
          </w:p>
        </w:tc>
        <w:tc>
          <w:tcPr/>
          <w:p>
            <w:pPr>
              <w:pStyle w:val="Compact"/>
              <w:jc w:val="left"/>
            </w:pPr>
            <w:r>
              <w:t xml:space="preserve">0.08</w:t>
            </w:r>
          </w:p>
        </w:tc>
      </w:tr>
      <w:tr>
        <w:tc>
          <w:tcPr/>
          <w:p>
            <w:pPr>
              <w:pStyle w:val="Compact"/>
              <w:jc w:val="left"/>
            </w:pPr>
            <w:r>
              <w:t xml:space="preserve">Manufacturing (Scope 2)</w:t>
            </w:r>
          </w:p>
        </w:tc>
        <w:tc>
          <w:tcPr/>
          <w:p>
            <w:pPr>
              <w:pStyle w:val="Compact"/>
              <w:jc w:val="left"/>
            </w:pPr>
            <w:r>
              <w:t xml:space="preserve">0.62</w:t>
            </w:r>
          </w:p>
        </w:tc>
      </w:tr>
      <w:tr>
        <w:tc>
          <w:tcPr/>
          <w:p>
            <w:pPr>
              <w:pStyle w:val="Compact"/>
              <w:jc w:val="left"/>
            </w:pPr>
            <w:r>
              <w:t xml:space="preserve">Downstream Transportation (Scope 3 - Downstream)</w:t>
            </w:r>
          </w:p>
        </w:tc>
        <w:tc>
          <w:tcPr/>
          <w:p>
            <w:pPr>
              <w:pStyle w:val="Compact"/>
              <w:jc w:val="left"/>
            </w:pPr>
            <w:r>
              <w:t xml:space="preserve">24.98</w:t>
            </w:r>
          </w:p>
        </w:tc>
      </w:tr>
      <w:tr>
        <w:tc>
          <w:tcPr/>
          <w:p>
            <w:pPr>
              <w:pStyle w:val="Compact"/>
              <w:jc w:val="left"/>
            </w:pPr>
            <w:r>
              <w:t xml:space="preserve">Use Phase (Scope 3 - Downstream)</w:t>
            </w:r>
          </w:p>
        </w:tc>
        <w:tc>
          <w:tcPr/>
          <w:p>
            <w:pPr>
              <w:pStyle w:val="Compact"/>
              <w:jc w:val="left"/>
            </w:pPr>
            <w:r>
              <w:t xml:space="preserve">31.03</w:t>
            </w:r>
          </w:p>
        </w:tc>
      </w:tr>
      <w:tr>
        <w:tc>
          <w:tcPr/>
          <w:p>
            <w:pPr>
              <w:pStyle w:val="Compact"/>
              <w:jc w:val="left"/>
            </w:pPr>
            <w:r>
              <w:t xml:space="preserve">End-of-Life (Scope 3 - Downstream)</w:t>
            </w:r>
          </w:p>
        </w:tc>
        <w:tc>
          <w:tcPr/>
          <w:p>
            <w:pPr>
              <w:pStyle w:val="Compact"/>
              <w:jc w:val="left"/>
            </w:pPr>
            <w:r>
              <w:t xml:space="preserve">-1.72</w:t>
            </w:r>
          </w:p>
        </w:tc>
      </w:tr>
      <w:tr>
        <w:tc>
          <w:tcPr/>
          <w:p>
            <w:pPr>
              <w:pStyle w:val="Compact"/>
              <w:jc w:val="left"/>
            </w:pPr>
            <w:r>
              <w:rPr>
                <w:bCs/>
                <w:b/>
              </w:rPr>
              <w:t xml:space="preserve">Total Product Carbon Footprint (PCF)</w:t>
            </w:r>
          </w:p>
        </w:tc>
        <w:tc>
          <w:tcPr/>
          <w:p>
            <w:pPr>
              <w:pStyle w:val="Compact"/>
            </w:pPr>
          </w:p>
        </w:tc>
      </w:tr>
    </w:tbl>
    <w:p>
      <w:pPr>
        <w:pStyle w:val="BodyText"/>
      </w:pPr>
      <w:r>
        <w:rPr>
          <w:bCs/>
          <w:b/>
        </w:rPr>
        <w:t xml:space="preserve">Total PCF for one unit of wedgytljsh: kgCO2e</w:t>
      </w:r>
    </w:p>
    <w:bookmarkEnd w:id="41"/>
    <w:bookmarkEnd w:id="42"/>
    <w:p>
      <w:r>
        <w:pict>
          <v:rect style="width:0;height:1.5pt" o:hralign="center" o:hrstd="t" o:hr="t"/>
        </w:pict>
      </w:r>
    </w:p>
    <w:bookmarkStart w:id="46" w:name="review-report-hotspots-and-reliability"/>
    <w:p>
      <w:pPr>
        <w:pStyle w:val="Heading2"/>
      </w:pPr>
      <w:r>
        <w:t xml:space="preserve">5. Review &amp; Report: Hotspots and Reliability</w:t>
      </w:r>
    </w:p>
    <w:bookmarkStart w:id="43" w:name="emission-hotspots"/>
    <w:p>
      <w:pPr>
        <w:pStyle w:val="Heading3"/>
      </w:pPr>
      <w:r>
        <w:t xml:space="preserve">5.1. Emission Hotspots</w:t>
      </w:r>
    </w:p>
    <w:p>
      <w:pPr>
        <w:pStyle w:val="FirstParagraph"/>
      </w:pPr>
      <w:r>
        <w:t xml:space="preserve">The analysis identifies the following key emission hotspots for "wedgytljsh":</w:t>
      </w:r>
    </w:p>
    <w:p>
      <w:pPr>
        <w:numPr>
          <w:ilvl w:val="0"/>
          <w:numId w:val="1014"/>
        </w:numPr>
        <w:pStyle w:val="Compact"/>
      </w:pPr>
      <w:r>
        <w:rPr>
          <w:bCs/>
          <w:b/>
        </w:rPr>
        <w:t xml:space="preserve">Use Phase (31.03 kgCO2e):</w:t>
      </w:r>
      <w:r>
        <w:t xml:space="preserve"> </w:t>
      </w:r>
      <w:r>
        <w:t xml:space="preserve">This is the most significant hotspot, primarily driven by the product\'s energy consumption over its 5-year lifespan using the China grid electricity mix.</w:t>
      </w:r>
    </w:p>
    <w:p>
      <w:pPr>
        <w:numPr>
          <w:ilvl w:val="0"/>
          <w:numId w:val="1014"/>
        </w:numPr>
        <w:pStyle w:val="Compact"/>
      </w:pPr>
      <w:r>
        <w:rPr>
          <w:bCs/>
          <w:b/>
        </w:rPr>
        <w:t xml:space="preserve">Downstream Transportation (24.98 kgCO2e):</w:t>
      </w:r>
      <w:r>
        <w:t xml:space="preserve"> </w:t>
      </w:r>
      <w:r>
        <w:t xml:space="preserve">Last-mile delivery (24.90 kgCO2e) contributes heavily here, highlighting the impact of parcel delivery logistics.</w:t>
      </w:r>
    </w:p>
    <w:p>
      <w:pPr>
        <w:numPr>
          <w:ilvl w:val="0"/>
          <w:numId w:val="1014"/>
        </w:numPr>
        <w:pStyle w:val="Compact"/>
      </w:pPr>
      <w:r>
        <w:rPr>
          <w:bCs/>
          <w:b/>
        </w:rPr>
        <w:t xml:space="preserve">Material Acquisition and Processing (4.22 kgCO2e):</w:t>
      </w:r>
      <w:r>
        <w:t xml:space="preserve"> </w:t>
      </w:r>
      <w:r>
        <w:t xml:space="preserve">The embodied emissions in raw materials, particularly the Circuit Board (PCB) and Lithium Battery, represent a substantial upfront impact.</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the use of detailed primary data from the Bill of Materials and the incorporation of specific operational parameters (energy usage, lifespan, recyclability).</w:t>
      </w:r>
      <w:r>
        <w:t xml:space="preserve"> </w:t>
      </w:r>
      <w:r>
        <w:t xml:space="preserve">However, certain limitations and assumptions should be noted:</w:t>
      </w:r>
    </w:p>
    <w:p>
      <w:pPr>
        <w:numPr>
          <w:ilvl w:val="0"/>
          <w:numId w:val="1015"/>
        </w:numPr>
        <w:pStyle w:val="Compact"/>
      </w:pPr>
      <w:r>
        <w:rPr>
          <w:bCs/>
          <w:b/>
        </w:rPr>
        <w:t xml:space="preserve">Placeholder Data:</w:t>
      </w:r>
      <w:r>
        <w:t xml:space="preserve"> </w:t>
      </w:r>
      <w:r>
        <w:t xml:space="preserve">Values for \'Select Mode\', \'dfftzptsow\', \'Delivery Type\', \'evvvxkirow\', \'kyenpjvokt\', \'lhelkgnvxm\', \'vwidrkilqq\', \'djhypffmyi\', and \'spefsketil\' were placeholders and were replaced with plausible, clearly stated assumptions for the purpose of quantitative analysis.</w:t>
      </w:r>
    </w:p>
    <w:p>
      <w:pPr>
        <w:numPr>
          <w:ilvl w:val="0"/>
          <w:numId w:val="1015"/>
        </w:numPr>
        <w:pStyle w:val="Compact"/>
      </w:pPr>
      <w:r>
        <w:rPr>
          <w:bCs/>
          <w:b/>
        </w:rPr>
        <w:t xml:space="preserve">Generic Emission Factors:</w:t>
      </w:r>
      <w:r>
        <w:t xml:space="preserve"> </w:t>
      </w:r>
      <w:r>
        <w:t xml:space="preserve">While industry-standard, some emission factors for transport and end-of-life are generic and may not precisely reflect regional or specific operational variations. For example, the road freight factor is an average, and specific vehicle types or load factors could alter results.</w:t>
      </w:r>
    </w:p>
    <w:p>
      <w:pPr>
        <w:numPr>
          <w:ilvl w:val="0"/>
          <w:numId w:val="1015"/>
        </w:numPr>
        <w:pStyle w:val="Compact"/>
      </w:pPr>
      <w:r>
        <w:rPr>
          <w:bCs/>
          <w:b/>
        </w:rPr>
        <w:t xml:space="preserve">System Boundary Interpretation:</w:t>
      </w:r>
      <w:r>
        <w:t xml:space="preserve"> </w:t>
      </w:r>
      <w:r>
        <w:t xml:space="preserve">The initial \'factory_gate\' boundary was expanded to \'cradle-to-grave\' to meet all specified analytical requirements, which offers a more complete picture but deviates from the initial single-stage focus.</w:t>
      </w:r>
    </w:p>
    <w:p>
      <w:pPr>
        <w:numPr>
          <w:ilvl w:val="0"/>
          <w:numId w:val="1015"/>
        </w:numPr>
        <w:pStyle w:val="Compact"/>
      </w:pPr>
      <w:r>
        <w:rPr>
          <w:bCs/>
          <w:b/>
        </w:rPr>
        <w:t xml:space="preserve">2026 LSR Update:</w:t>
      </w:r>
      <w:r>
        <w:t xml:space="preserve"> </w:t>
      </w:r>
      <w:r>
        <w:t xml:space="preserve">The Land Sector and Removals (LSR) Standard has been acknowledged. While no specific land-use changes or direct carbon removals were explicitly provided in the parameters for this product, the methodology accounts for potential future integration if relevant data becomes available.</w:t>
      </w:r>
    </w:p>
    <w:p>
      <w:pPr>
        <w:numPr>
          <w:ilvl w:val="0"/>
          <w:numId w:val="1015"/>
        </w:numPr>
        <w:pStyle w:val="Compact"/>
      </w:pPr>
      <w:r>
        <w:rPr>
          <w:bCs/>
          <w:b/>
        </w:rPr>
        <w:t xml:space="preserve">Scope 3 Coverage:</w:t>
      </w:r>
      <w:r>
        <w:t xml:space="preserve"> </w:t>
      </w:r>
      <w:r>
        <w:t xml:space="preserve">Efforts were made to achieve high Scope 3 coverage (upstream materials, transport, downstream transport, use, and end-of-life), targeting the 95% compliance requirement for 2026. The detailed breakdown supports this.</w:t>
      </w:r>
    </w:p>
    <w:bookmarkEnd w:id="44"/>
    <w:bookmarkStart w:id="45" w:name="recommendations"/>
    <w:p>
      <w:pPr>
        <w:pStyle w:val="Heading3"/>
      </w:pPr>
      <w:r>
        <w:t xml:space="preserve">5.3. Recommendations</w:t>
      </w:r>
    </w:p>
    <w:p>
      <w:pPr>
        <w:pStyle w:val="FirstParagraph"/>
      </w:pPr>
      <w:r>
        <w:t xml:space="preserve">Based on these findings, hwtenfdwjs should consider the following:</w:t>
      </w:r>
    </w:p>
    <w:p>
      <w:pPr>
        <w:numPr>
          <w:ilvl w:val="0"/>
          <w:numId w:val="1016"/>
        </w:numPr>
        <w:pStyle w:val="Compact"/>
      </w:pPr>
      <w:r>
        <w:rPr>
          <w:bCs/>
          <w:b/>
        </w:rPr>
        <w:t xml:space="preserve">Optimize Use Phase:</w:t>
      </w:r>
      <w:r>
        <w:t xml:space="preserve"> </w:t>
      </w:r>
      <w:r>
        <w:t xml:space="preserve">Investigate opportunities to reduce product energy consumption during use or encourage consumers to use renewable energy sources. This could involve promoting energy-efficient usage patterns or designing for lower power draw.</w:t>
      </w:r>
    </w:p>
    <w:p>
      <w:pPr>
        <w:numPr>
          <w:ilvl w:val="0"/>
          <w:numId w:val="1016"/>
        </w:numPr>
        <w:pStyle w:val="Compact"/>
      </w:pPr>
      <w:r>
        <w:rPr>
          <w:bCs/>
          <w:b/>
        </w:rPr>
        <w:t xml:space="preserve">Streamline Downstream Logistics:</w:t>
      </w:r>
      <w:r>
        <w:t xml:space="preserve"> </w:t>
      </w:r>
      <w:r>
        <w:t xml:space="preserve">Explore more efficient last-mile delivery options, optimize delivery routes, or collaborate with logistics providers utilizing lower-emission vehicles to mitigate the significant impact of downstream transport.</w:t>
      </w:r>
    </w:p>
    <w:p>
      <w:pPr>
        <w:numPr>
          <w:ilvl w:val="0"/>
          <w:numId w:val="1016"/>
        </w:numPr>
        <w:pStyle w:val="Compact"/>
      </w:pPr>
      <w:r>
        <w:rPr>
          <w:bCs/>
          <w:b/>
        </w:rPr>
        <w:t xml:space="preserve">Material Innovation:</w:t>
      </w:r>
      <w:r>
        <w:t xml:space="preserve"> </w:t>
      </w:r>
      <w:r>
        <w:t xml:space="preserve">Continue to explore lower-carbon materials and manufacturing processes for high-impact components like PCBs and batteries, or increase the use of recycled content.</w:t>
      </w:r>
    </w:p>
    <w:p>
      <w:pPr>
        <w:numPr>
          <w:ilvl w:val="0"/>
          <w:numId w:val="1016"/>
        </w:numPr>
        <w:pStyle w:val="Compact"/>
      </w:pPr>
      <w:r>
        <w:rPr>
          <w:bCs/>
          <w:b/>
        </w:rPr>
        <w:t xml:space="preserve">Enhance Circularity:</w:t>
      </w:r>
      <w:r>
        <w:t xml:space="preserve"> </w:t>
      </w:r>
      <w:r>
        <w:t xml:space="preserve">Leverage the "Product take-back and refurbishment program" to its full potential, ensuring high return rates and successful refurbishment or high-quality recycling to maximize end-of-life benefits.</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wedgytljsh</dc:title>
  <dc:creator/>
  <dc:description>Detailed Product Carbon Footprint (PCF) analysis report for product wedgytljsh by hwtenfdwjs, following GHG Protocol standards and 2026 LSR Update for sustainability insights.</dc:description>
  <dc:language>en</dc:language>
  <cp:keywords/>
  <dcterms:created xsi:type="dcterms:W3CDTF">2026-07-15T16:32:48Z</dcterms:created>
  <dcterms:modified xsi:type="dcterms:W3CDTF">2026-07-15T16:32:48Z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