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vzioyzzwxl</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t xml:space="preserve">For Product:</w:t>
      </w:r>
      <w:r>
        <w:t xml:space="preserve"> </w:t>
      </w:r>
      <w:r>
        <w:rPr>
          <w:bCs/>
          <w:b/>
        </w:rPr>
        <w:t xml:space="preserve">vzioyzzwxl</w:t>
      </w:r>
    </w:p>
    <w:p>
      <w:pPr>
        <w:pStyle w:val="BodyText"/>
      </w:pPr>
      <w:r>
        <w:t xml:space="preserve">Company Name: gfyqeqegxm</w:t>
      </w:r>
    </w:p>
    <w:p>
      <w:pPr>
        <w:pStyle w:val="BodyText"/>
      </w:pPr>
      <w:r>
        <w:t xml:space="preserve">Senior Sustainability Consultant: tmkrmmygtr</w:t>
      </w:r>
    </w:p>
    <w:p>
      <w:pPr>
        <w:pStyle w:val="BodyText"/>
      </w:pPr>
      <w:r>
        <w:rPr>
          <w:bCs/>
          <w:b/>
        </w:rPr>
        <w:t xml:space="preserve">Protocol Data:</w:t>
      </w:r>
      <w:r>
        <w:t xml:space="preserve"> </w:t>
      </w:r>
      <w:r>
        <w:t xml:space="preserve">GHG Protocol</w:t>
      </w:r>
    </w:p>
    <w:p>
      <w:pPr>
        <w:pStyle w:val="BodyText"/>
      </w:pPr>
      <w:r>
        <w:t xml:space="preserve">Disclaimer: This report is generated based on available data and industry standards.</w:t>
      </w:r>
      <w:r>
        <w:t xml:space="preserve"> </w:t>
      </w:r>
      <w:r>
        <w:t xml:space="preserve">The accuracy of the results is dependent on the completeness and reliability of the provided input parameters and assumptions made regarding emission factors where specific data was not available.</w:t>
      </w:r>
    </w:p>
    <w:bookmarkEnd w:id="20"/>
    <w:p>
      <w:pPr>
        <w:pStyle w:val="BodyText"/>
      </w:pPr>
      <w:r>
        <w:t xml:space="preserve">Product Carbon Footprint (PCF) Analysis Report for vzioyzzwxl</w:t>
      </w:r>
    </w:p>
    <w:p>
      <w:pPr>
        <w:pStyle w:val="BodyText"/>
      </w:pPr>
      <w:r>
        <w:t xml:space="preserve">Generated Date: May 23, 2026</w:t>
      </w:r>
    </w:p>
    <w:bookmarkStart w:id="21" w:name="executive-summary"/>
    <w:p>
      <w:pPr>
        <w:pStyle w:val="Heading1"/>
      </w:pPr>
      <w:r>
        <w:t xml:space="preserve">Executive Summary</w:t>
      </w:r>
    </w:p>
    <w:p>
      <w:pPr>
        <w:pStyle w:val="FirstParagraph"/>
      </w:pPr>
      <w:r>
        <w:t xml:space="preserve">This report presents a high-detail Product Carbon Footprint (PCF) analysis for the product</w:t>
      </w:r>
      <w:r>
        <w:t xml:space="preserve"> </w:t>
      </w:r>
      <w:r>
        <w:rPr>
          <w:bCs/>
          <w:b/>
        </w:rPr>
        <w:t xml:space="preserve">vzioyzzwxl</w:t>
      </w:r>
      <w:r>
        <w:t xml:space="preserve">, manufactured by</w:t>
      </w:r>
      <w:r>
        <w:t xml:space="preserve"> </w:t>
      </w:r>
      <w:r>
        <w:rPr>
          <w:bCs/>
          <w:b/>
        </w:rPr>
        <w:t xml:space="preserve">gfyqeqegxm</w:t>
      </w:r>
      <w:r>
        <w:t xml:space="preserve">. The analysis was conducted by</w:t>
      </w:r>
      <w:r>
        <w:t xml:space="preserve"> </w:t>
      </w:r>
      <w:r>
        <w:rPr>
          <w:bCs/>
          <w:b/>
        </w:rPr>
        <w:t xml:space="preserve">tmkrmmygtr</w:t>
      </w:r>
      <w:r>
        <w:t xml:space="preserve">, Senior Sustainability Consultant, adhering strictly to the Greenhouse Gas (GHG) Protocol standards, including the 2026 Land Sector and Removals (LSR) update. The objective is to quantify the greenhouse gas emissions associated with the product\'s lifecycle, identify key emission hotspots, and provide insights for reduction strategies. The total carbon footprint of</w:t>
      </w:r>
      <w:r>
        <w:t xml:space="preserve"> </w:t>
      </w:r>
      <w:r>
        <w:rPr>
          <w:bCs/>
          <w:b/>
        </w:rPr>
        <w:t xml:space="preserve">vzioyzzwxl</w:t>
      </w:r>
      <w:r>
        <w:t xml:space="preserve"> </w:t>
      </w:r>
      <w:r>
        <w:t xml:space="preserve">has been calculated from a factory-gate system boundary, with a supply chain focus on Europe and final production in China.</w:t>
      </w:r>
    </w:p>
    <w:p>
      <w:pPr>
        <w:pStyle w:val="BodyText"/>
      </w:pPr>
      <w:r>
        <w:t xml:space="preserve">Key insights reveal significant impacts across material acquisition and production, with specific contributions from logistics and the product\'s use phase. End-of-life scenarios, including recyclability and circular programs, have been incorporated to provide a comprehensive view of the product\'s environmental performance. This analysis aims to support</w:t>
      </w:r>
      <w:r>
        <w:t xml:space="preserve"> </w:t>
      </w:r>
      <w:r>
        <w:rPr>
          <w:bCs/>
          <w:b/>
        </w:rPr>
        <w:t xml:space="preserve">gfyqeqegxm</w:t>
      </w:r>
      <w:r>
        <w:t xml:space="preserve"> </w:t>
      </w:r>
      <w:r>
        <w:t xml:space="preserve">in its sustainability reporting and strategic decision-making towards a lower-carbon future.</w:t>
      </w:r>
    </w:p>
    <w:p>
      <w:r>
        <w:pict>
          <v:rect style="width:0;height:1.5pt" o:hralign="center" o:hrstd="t" o:hr="t"/>
        </w:pict>
      </w:r>
    </w:p>
    <w:bookmarkEnd w:id="21"/>
    <w:bookmarkStart w:id="26" w:name="methodology-and-scope-definition"/>
    <w:p>
      <w:pPr>
        <w:pStyle w:val="Heading1"/>
      </w:pPr>
      <w:r>
        <w:t xml:space="preserve">1. Methodology and Scope Definition</w:t>
      </w:r>
    </w:p>
    <w:p>
      <w:pPr>
        <w:pStyle w:val="FirstParagraph"/>
      </w:pPr>
      <w:r>
        <w:t xml:space="preserve">The Product Carbon Footprint (PCF) analysis for product</w:t>
      </w:r>
      <w:r>
        <w:t xml:space="preserve"> </w:t>
      </w:r>
      <w:r>
        <w:rPr>
          <w:bCs/>
          <w:b/>
        </w:rPr>
        <w:t xml:space="preserve">vzioyzzwxl</w:t>
      </w:r>
      <w:r>
        <w:t xml:space="preserve"> </w:t>
      </w:r>
      <w:r>
        <w:t xml:space="preserve">followed the five-step methodology prescribed by the GHG Protocol, ensuring comprehensive and consistent reporting. This section outlines the foundational parameters for the analysis.</w:t>
      </w:r>
    </w:p>
    <w:bookmarkStart w:id="22" w:name="functional-unit"/>
    <w:p>
      <w:pPr>
        <w:pStyle w:val="Heading2"/>
      </w:pPr>
      <w:r>
        <w:t xml:space="preserve">1.1. Functional Unit</w:t>
      </w:r>
    </w:p>
    <w:p>
      <w:pPr>
        <w:pStyle w:val="FirstParagraph"/>
      </w:pPr>
      <w:r>
        <w:t xml:space="preserve">The functional unit for this PCF study is</w:t>
      </w:r>
      <w:r>
        <w:t xml:space="preserve"> </w:t>
      </w:r>
      <w:r>
        <w:rPr>
          <w:bCs/>
          <w:b/>
        </w:rPr>
        <w:t xml:space="preserve">1.0 unit</w:t>
      </w:r>
      <w:r>
        <w:t xml:space="preserve"> </w:t>
      </w:r>
      <w:r>
        <w:t xml:space="preserve">of product</w:t>
      </w:r>
      <w:r>
        <w:t xml:space="preserve"> </w:t>
      </w:r>
      <w:r>
        <w:rPr>
          <w:bCs/>
          <w:b/>
        </w:rPr>
        <w:t xml:space="preserve">vzioyzzwxl</w:t>
      </w:r>
      <w:r>
        <w:t xml:space="preserve">. All reported emissions are normalized to this unit, allowing for standardized comparison and assessment.</w:t>
      </w:r>
    </w:p>
    <w:bookmarkEnd w:id="22"/>
    <w:bookmarkStart w:id="23" w:name="system-boundary"/>
    <w:p>
      <w:pPr>
        <w:pStyle w:val="Heading2"/>
      </w:pPr>
      <w:r>
        <w:t xml:space="preserve">1.2. System Boundary</w:t>
      </w:r>
    </w:p>
    <w:p>
      <w:pPr>
        <w:pStyle w:val="FirstParagraph"/>
      </w:pPr>
      <w:r>
        <w:t xml:space="preserve">The system boundary for this assessment is defined as</w:t>
      </w:r>
      <w:r>
        <w:t xml:space="preserve"> </w:t>
      </w:r>
      <w:r>
        <w:rPr>
          <w:bCs/>
          <w:b/>
        </w:rPr>
        <w:t xml:space="preserve">"factory_gate"</w:t>
      </w:r>
      <w:r>
        <w:t xml:space="preserve">. This encompasses all emissions from raw material extraction, processing, manufacturing, and transport up to the point where the finished product leaves the production facility (factory gate). For a holistic view, a preliminary assessment of downstream emissions (Use Phase and End-of-Life) is also included, aligning with GHG Protocol Scope 3 requirements.</w:t>
      </w:r>
    </w:p>
    <w:bookmarkEnd w:id="23"/>
    <w:bookmarkStart w:id="24" w:name="geographic-scope"/>
    <w:p>
      <w:pPr>
        <w:pStyle w:val="Heading2"/>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w:t>
      </w:r>
    </w:p>
    <w:p>
      <w:pPr>
        <w:pStyle w:val="FirstParagraph"/>
      </w:pPr>
      <w:r>
        <w:t xml:space="preserve">This geographic scope dictates the application of regional-specific emission factors for energy grids, material sourcing, and transportation where available and relevant.</w:t>
      </w:r>
    </w:p>
    <w:bookmarkEnd w:id="24"/>
    <w:bookmarkStart w:id="25" w:name="accounting-standard-and-allocation"/>
    <w:p>
      <w:pPr>
        <w:pStyle w:val="Heading2"/>
      </w:pPr>
      <w:r>
        <w:t xml:space="preserve">1.4. Accounting Standard and Allocation</w:t>
      </w:r>
    </w:p>
    <w:p>
      <w:pPr>
        <w:pStyle w:val="FirstParagraph"/>
      </w:pPr>
      <w:r>
        <w:t xml:space="preserve">This PCF analysis strictly adheres to the</w:t>
      </w:r>
      <w:r>
        <w:t xml:space="preserve"> </w:t>
      </w:r>
      <w:r>
        <w:rPr>
          <w:bCs/>
          <w:b/>
        </w:rPr>
        <w:t xml:space="preserve">GHG Protocol Product Standard</w:t>
      </w:r>
      <w:r>
        <w:t xml:space="preserve">. Emissions are categorized into Scope 1 (direct emissions from owned or controlled sources), Scope 2 (indirect emissions from the generation of purchased energy), and Scope 3 (all other indirect emissions that occur in a company\'s value chain). Allocation of emissions is performed based on mass allocation for co-products and economic allocation where appropriate for shared processes, ensuring a fair distribution of environmental burdens.</w:t>
      </w:r>
    </w:p>
    <w:p>
      <w:pPr>
        <w:pStyle w:val="BodyText"/>
      </w:pPr>
      <w:r>
        <w:rPr>
          <w:bCs/>
          <w:b/>
        </w:rPr>
        <w:t xml:space="preserve">2026 LSR Update:</w:t>
      </w:r>
      <w:r>
        <w:t xml:space="preserve"> </w:t>
      </w:r>
      <w:r>
        <w:t xml:space="preserve">The Land Sector and Removals (LSR) Standard, published on January 30, 2026, has been applied to account for land use emissions and carbon removals. This Standard, effective January 1, 2027, provides accounting requirements and guidance for quantifying, reporting, and tracking land emissions, CO₂ removals, and other key metrics, including technological CO₂ removals. The accompanying Guidance document is expected in the second quarter of 2026, offering more detailed implementation support. This ensures a comprehensive assessment of GHG impacts, particularly relevant for bio-based materials or processes involving land-use change.</w:t>
      </w:r>
    </w:p>
    <w:p>
      <w:pPr>
        <w:pStyle w:val="BodyText"/>
      </w:pPr>
      <w:r>
        <w:rPr>
          <w:bCs/>
          <w:b/>
        </w:rPr>
        <w:t xml:space="preserve">Scope 3 Compliance:</w:t>
      </w:r>
      <w:r>
        <w:t xml:space="preserve"> </w:t>
      </w:r>
      <w:r>
        <w:t xml:space="preserve">In line with 2026 requirements, this report aims for at least 95% coverage for Scope 3 emissions, ensuring a robust and comprehensive understanding of value chain impacts. The GHG Protocol Scope 3 Revision emphasizes a shift towards data transparency and financial-grade emissions reporting, moving away from "best-effort" estimates.</w:t>
      </w:r>
    </w:p>
    <w:p>
      <w:r>
        <w:pict>
          <v:rect style="width:0;height:1.5pt" o:hralign="center" o:hrstd="t" o:hr="t"/>
        </w:pict>
      </w:r>
    </w:p>
    <w:bookmarkEnd w:id="25"/>
    <w:bookmarkEnd w:id="26"/>
    <w:bookmarkStart w:id="43" w:name="X1a4f9f8d432a3b187db5d96348c0977937c2d9a"/>
    <w:p>
      <w:pPr>
        <w:pStyle w:val="Heading1"/>
      </w:pPr>
      <w:r>
        <w:t xml:space="preserve">2. Lifecycle Inventory (LCI) Stages and Data Collection</w:t>
      </w:r>
    </w:p>
    <w:p>
      <w:pPr>
        <w:pStyle w:val="FirstParagraph"/>
      </w:pPr>
      <w:r>
        <w:t xml:space="preserve">This section details the various lifecycle stages considered in the analysis and the data collection approach for product</w:t>
      </w:r>
      <w:r>
        <w:t xml:space="preserve"> </w:t>
      </w:r>
      <w:r>
        <w:rPr>
          <w:bCs/>
          <w:b/>
        </w:rPr>
        <w:t xml:space="preserve">vzioyzzwxl</w:t>
      </w:r>
      <w:r>
        <w:t xml:space="preserve">.</w:t>
      </w:r>
    </w:p>
    <w:bookmarkStart w:id="27" w:name="mapping-lifecycle-stages"/>
    <w:p>
      <w:pPr>
        <w:pStyle w:val="Heading2"/>
      </w:pPr>
      <w:r>
        <w:t xml:space="preserve">2.1. Mapping Lifecycle Stages</w:t>
      </w:r>
    </w:p>
    <w:p>
      <w:pPr>
        <w:pStyle w:val="FirstParagraph"/>
      </w:pPr>
      <w:r>
        <w:t xml:space="preserve">The lifecycle of product</w:t>
      </w:r>
      <w:r>
        <w:t xml:space="preserve"> </w:t>
      </w:r>
      <w:r>
        <w:rPr>
          <w:bCs/>
          <w:b/>
        </w:rPr>
        <w:t xml:space="preserve">vzioyzzwxl</w:t>
      </w:r>
      <w:r>
        <w:t xml:space="preserve"> </w:t>
      </w:r>
      <w:r>
        <w:t xml:space="preserve">is mapped across the following stages, encompassing "cradle-to-gate" with additional consideration for "gate-to-grave" elements for comprehensive Scope 3 assessment:</w:t>
      </w:r>
    </w:p>
    <w:p>
      <w:pPr>
        <w:numPr>
          <w:ilvl w:val="0"/>
          <w:numId w:val="1002"/>
        </w:numPr>
        <w:pStyle w:val="Compact"/>
      </w:pPr>
      <w:r>
        <w:rPr>
          <w:bCs/>
          <w:b/>
        </w:rPr>
        <w:t xml:space="preserve">A1: Raw Material Acquisition &amp; Pre-processing:</w:t>
      </w:r>
      <w:r>
        <w:t xml:space="preserve"> </w:t>
      </w:r>
      <w:r>
        <w:t xml:space="preserve">Extraction, processing, and refining of all raw materials.</w:t>
      </w:r>
    </w:p>
    <w:p>
      <w:pPr>
        <w:numPr>
          <w:ilvl w:val="0"/>
          <w:numId w:val="1002"/>
        </w:numPr>
        <w:pStyle w:val="Compact"/>
      </w:pPr>
      <w:r>
        <w:rPr>
          <w:bCs/>
          <w:b/>
        </w:rPr>
        <w:t xml:space="preserve">A2: Transport to Manufacturer:</w:t>
      </w:r>
      <w:r>
        <w:t xml:space="preserve"> </w:t>
      </w:r>
      <w:r>
        <w:t xml:space="preserve">Transportation of all components and raw materials from suppliers to the manufacturing facility.</w:t>
      </w:r>
    </w:p>
    <w:p>
      <w:pPr>
        <w:numPr>
          <w:ilvl w:val="0"/>
          <w:numId w:val="1002"/>
        </w:numPr>
        <w:pStyle w:val="Compact"/>
      </w:pPr>
      <w:r>
        <w:rPr>
          <w:bCs/>
          <w:b/>
        </w:rPr>
        <w:t xml:space="preserve">A3: Manufacturing/Production:</w:t>
      </w:r>
      <w:r>
        <w:t xml:space="preserve"> </w:t>
      </w:r>
      <w:r>
        <w:t xml:space="preserve">Energy consumption, processes, and emissions at the production site.</w:t>
      </w:r>
    </w:p>
    <w:p>
      <w:pPr>
        <w:numPr>
          <w:ilvl w:val="0"/>
          <w:numId w:val="1002"/>
        </w:numPr>
        <w:pStyle w:val="Compact"/>
      </w:pPr>
      <w:r>
        <w:rPr>
          <w:bCs/>
          <w:b/>
        </w:rPr>
        <w:t xml:space="preserve">A4: Transport to Customer:</w:t>
      </w:r>
      <w:r>
        <w:t xml:space="preserve"> </w:t>
      </w:r>
      <w:r>
        <w:t xml:space="preserve">Transportation of the finished product from the factory to the end-user.</w:t>
      </w:r>
    </w:p>
    <w:p>
      <w:pPr>
        <w:numPr>
          <w:ilvl w:val="0"/>
          <w:numId w:val="1002"/>
        </w:numPr>
        <w:pStyle w:val="Compact"/>
      </w:pPr>
      <w:r>
        <w:rPr>
          <w:bCs/>
          <w:b/>
        </w:rPr>
        <w:t xml:space="preserve">B: Use Phase:</w:t>
      </w:r>
      <w:r>
        <w:t xml:space="preserve"> </w:t>
      </w:r>
      <w:r>
        <w:t xml:space="preserve">Energy consumption and maintenance during the product\'s operational lifespan.</w:t>
      </w:r>
    </w:p>
    <w:p>
      <w:pPr>
        <w:numPr>
          <w:ilvl w:val="0"/>
          <w:numId w:val="1002"/>
        </w:numPr>
        <w:pStyle w:val="Compact"/>
      </w:pPr>
      <w:r>
        <w:rPr>
          <w:bCs/>
          <w:b/>
        </w:rPr>
        <w:t xml:space="preserve">C: End-of-Life:</w:t>
      </w:r>
      <w:r>
        <w:t xml:space="preserve"> </w:t>
      </w:r>
      <w:r>
        <w:t xml:space="preserve">Collection, recycling, landfilling, or incineration of the product at the end of its life.</w:t>
      </w:r>
    </w:p>
    <w:bookmarkEnd w:id="27"/>
    <w:bookmarkStart w:id="42" w:name="data-collection-and-assumptions"/>
    <w:p>
      <w:pPr>
        <w:pStyle w:val="Heading2"/>
      </w:pPr>
      <w:r>
        <w:t xml:space="preserve">2.2. Data Collection and Assumptions</w:t>
      </w:r>
    </w:p>
    <w:p>
      <w:pPr>
        <w:pStyle w:val="FirstParagraph"/>
      </w:pPr>
      <w:r>
        <w:t xml:space="preserve">Both primary and secondary data sources were utilized for this analysis. Primary data, where available, was prioritized for high-impact processes. Secondary data from established databases (e.g., Ecoinvent, DEFRA) was used for generic processes and background data. Where specific data was a placeholder (e.g., "jwurzsss", "msyeqspexz"), illustrative values were used, and explicit assumptions are stated below.</w:t>
      </w:r>
    </w:p>
    <w:bookmarkStart w:id="28" w:name="Xa9464f2aca969796e8c239a66c7ffa77d35cedf"/>
    <w:p>
      <w:pPr>
        <w:pStyle w:val="Heading3"/>
      </w:pPr>
      <w:r>
        <w:t xml:space="preserve">2.2.1. Detailed Bill of Materials (BOM) for vzioyzzwxl</w:t>
      </w:r>
    </w:p>
    <w:p>
      <w:pPr>
        <w:pStyle w:val="FirstParagraph"/>
      </w:pPr>
      <w:r>
        <w:t xml:space="preserve">The provided Detailed Bill of Materials (BOM) was crucial for calculating the material impact. Due to the placeholder nature of "jwurzsss", an illustrative BOM is presented below, demonstrating the detailed breakdown and subsequent emission calculation based on the specified format: ID, Description, Category, Process, Qty, Unit, Emission Factor (kg CO2e/unit), Total Carbon (kg CO2e). These values are directly used in the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BOM001</w:t>
            </w:r>
          </w:p>
        </w:tc>
        <w:tc>
          <w:tcPr/>
          <w:p>
            <w:pPr>
              <w:pStyle w:val="Compact"/>
              <w:jc w:val="left"/>
            </w:pPr>
            <w:r>
              <w:t xml:space="preserve">Aluminium Casing</w:t>
            </w:r>
          </w:p>
        </w:tc>
        <w:tc>
          <w:tcPr/>
          <w:p>
            <w:pPr>
              <w:pStyle w:val="Compact"/>
              <w:jc w:val="left"/>
            </w:pPr>
            <w:r>
              <w:t xml:space="preserve">Metal</w:t>
            </w:r>
          </w:p>
        </w:tc>
        <w:tc>
          <w:tcPr/>
          <w:p>
            <w:pPr>
              <w:pStyle w:val="Compact"/>
              <w:jc w:val="left"/>
            </w:pPr>
            <w:r>
              <w:t xml:space="preserve">Primary Production, EU</w:t>
            </w:r>
          </w:p>
        </w:tc>
        <w:tc>
          <w:tcPr/>
          <w:p>
            <w:pPr>
              <w:pStyle w:val="Compact"/>
              <w:jc w:val="left"/>
            </w:pPr>
            <w:r>
              <w:t xml:space="preserve">0.8</w:t>
            </w:r>
          </w:p>
        </w:tc>
        <w:tc>
          <w:tcPr/>
          <w:p>
            <w:pPr>
              <w:pStyle w:val="Compact"/>
              <w:jc w:val="left"/>
            </w:pPr>
            <w:r>
              <w:t xml:space="preserve">kg</w:t>
            </w:r>
          </w:p>
        </w:tc>
        <w:tc>
          <w:tcPr/>
          <w:p>
            <w:pPr>
              <w:pStyle w:val="Compact"/>
              <w:jc w:val="left"/>
            </w:pPr>
            <w:r>
              <w:t xml:space="preserve">6.6</w:t>
            </w:r>
          </w:p>
        </w:tc>
        <w:tc>
          <w:tcPr/>
          <w:p>
            <w:pPr>
              <w:pStyle w:val="Compact"/>
              <w:jc w:val="left"/>
            </w:pPr>
            <w:r>
              <w:t xml:space="preserve">5.28</w:t>
            </w:r>
          </w:p>
        </w:tc>
      </w:tr>
      <w:tr>
        <w:tc>
          <w:tcPr/>
          <w:p>
            <w:pPr>
              <w:pStyle w:val="Compact"/>
              <w:jc w:val="left"/>
            </w:pPr>
            <w:r>
              <w:t xml:space="preserve">BOM002</w:t>
            </w:r>
          </w:p>
        </w:tc>
        <w:tc>
          <w:tcPr/>
          <w:p>
            <w:pPr>
              <w:pStyle w:val="Compact"/>
              <w:jc w:val="left"/>
            </w:pPr>
            <w:r>
              <w:t xml:space="preserve">Recycled Plastic Housing</w:t>
            </w:r>
          </w:p>
        </w:tc>
        <w:tc>
          <w:tcPr/>
          <w:p>
            <w:pPr>
              <w:pStyle w:val="Compact"/>
              <w:jc w:val="left"/>
            </w:pPr>
            <w:r>
              <w:t xml:space="preserve">Plastic</w:t>
            </w:r>
          </w:p>
        </w:tc>
        <w:tc>
          <w:tcPr/>
          <w:p>
            <w:pPr>
              <w:pStyle w:val="Compact"/>
              <w:jc w:val="left"/>
            </w:pPr>
            <w:r>
              <w:t xml:space="preserve">Recycled Granulate, EU</w:t>
            </w:r>
          </w:p>
        </w:tc>
        <w:tc>
          <w:tcPr/>
          <w:p>
            <w:pPr>
              <w:pStyle w:val="Compact"/>
              <w:jc w:val="left"/>
            </w:pPr>
            <w:r>
              <w:t xml:space="preserve">0.5</w:t>
            </w:r>
          </w:p>
        </w:tc>
        <w:tc>
          <w:tcPr/>
          <w:p>
            <w:pPr>
              <w:pStyle w:val="Compact"/>
              <w:jc w:val="left"/>
            </w:pPr>
            <w:r>
              <w:t xml:space="preserve">kg</w:t>
            </w:r>
          </w:p>
        </w:tc>
        <w:tc>
          <w:tcPr/>
          <w:p>
            <w:pPr>
              <w:pStyle w:val="Compact"/>
              <w:jc w:val="left"/>
            </w:pPr>
            <w:r>
              <w:t xml:space="preserve">1.2</w:t>
            </w:r>
          </w:p>
        </w:tc>
        <w:tc>
          <w:tcPr/>
          <w:p>
            <w:pPr>
              <w:pStyle w:val="Compact"/>
              <w:jc w:val="left"/>
            </w:pPr>
            <w:r>
              <w:t xml:space="preserve">0.60</w:t>
            </w:r>
          </w:p>
        </w:tc>
      </w:tr>
      <w:tr>
        <w:tc>
          <w:tcPr/>
          <w:p>
            <w:pPr>
              <w:pStyle w:val="Compact"/>
              <w:jc w:val="left"/>
            </w:pPr>
            <w:r>
              <w:t xml:space="preserve">BOM003</w:t>
            </w:r>
          </w:p>
        </w:tc>
        <w:tc>
          <w:tcPr/>
          <w:p>
            <w:pPr>
              <w:pStyle w:val="Compact"/>
              <w:jc w:val="left"/>
            </w:pPr>
            <w:r>
              <w:t xml:space="preserve">Electronic Circuit Board</w:t>
            </w:r>
          </w:p>
        </w:tc>
        <w:tc>
          <w:tcPr/>
          <w:p>
            <w:pPr>
              <w:pStyle w:val="Compact"/>
              <w:jc w:val="left"/>
            </w:pPr>
            <w:r>
              <w:t xml:space="preserve">Electronics</w:t>
            </w:r>
          </w:p>
        </w:tc>
        <w:tc>
          <w:tcPr/>
          <w:p>
            <w:pPr>
              <w:pStyle w:val="Compact"/>
              <w:jc w:val="left"/>
            </w:pPr>
            <w:r>
              <w:t xml:space="preserve">Manufacturing, Asia</w:t>
            </w:r>
          </w:p>
        </w:tc>
        <w:tc>
          <w:tcPr/>
          <w:p>
            <w:pPr>
              <w:pStyle w:val="Compact"/>
              <w:jc w:val="left"/>
            </w:pPr>
            <w:r>
              <w:t xml:space="preserve">0.2</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3.00</w:t>
            </w:r>
          </w:p>
        </w:tc>
      </w:tr>
      <w:tr>
        <w:tc>
          <w:tcPr/>
          <w:p>
            <w:pPr>
              <w:pStyle w:val="Compact"/>
              <w:jc w:val="left"/>
            </w:pPr>
            <w:r>
              <w:t xml:space="preserve">BOM004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Primary Production, Global</w:t>
            </w:r>
          </w:p>
        </w:tc>
        <w:tc>
          <w:tcPr/>
          <w:p>
            <w:pPr>
              <w:pStyle w:val="Compact"/>
              <w:jc w:val="left"/>
            </w:pPr>
            <w:r>
              <w:t xml:space="preserve">0.05</w:t>
            </w:r>
          </w:p>
        </w:tc>
        <w:tc>
          <w:tcPr/>
          <w:p>
            <w:pPr>
              <w:pStyle w:val="Compact"/>
              <w:jc w:val="left"/>
            </w:pPr>
            <w:r>
              <w:t xml:space="preserve">kg</w:t>
            </w:r>
          </w:p>
        </w:tc>
        <w:tc>
          <w:tcPr/>
          <w:p>
            <w:pPr>
              <w:pStyle w:val="Compact"/>
              <w:jc w:val="left"/>
            </w:pPr>
            <w:r>
              <w:t xml:space="preserve">4.1</w:t>
            </w:r>
          </w:p>
        </w:tc>
        <w:tc>
          <w:tcPr/>
          <w:p>
            <w:pPr>
              <w:pStyle w:val="Compact"/>
              <w:jc w:val="left"/>
            </w:pPr>
            <w:r>
              <w:t xml:space="preserve">0.205</w:t>
            </w:r>
          </w:p>
        </w:tc>
      </w:tr>
      <w:tr>
        <w:tc>
          <w:tcPr/>
          <w:p>
            <w:pPr>
              <w:pStyle w:val="Compact"/>
              <w:jc w:val="left"/>
            </w:pPr>
            <w:r>
              <w:t xml:space="preserve">BOM005</w:t>
            </w:r>
          </w:p>
        </w:tc>
        <w:tc>
          <w:tcPr/>
          <w:p>
            <w:pPr>
              <w:pStyle w:val="Compact"/>
              <w:jc w:val="left"/>
            </w:pPr>
            <w:r>
              <w:t xml:space="preserve">Glass Display</w:t>
            </w:r>
          </w:p>
        </w:tc>
        <w:tc>
          <w:tcPr/>
          <w:p>
            <w:pPr>
              <w:pStyle w:val="Compact"/>
              <w:jc w:val="left"/>
            </w:pPr>
            <w:r>
              <w:t xml:space="preserve">Glass</w:t>
            </w:r>
          </w:p>
        </w:tc>
        <w:tc>
          <w:tcPr/>
          <w:p>
            <w:pPr>
              <w:pStyle w:val="Compact"/>
              <w:jc w:val="left"/>
            </w:pPr>
            <w:r>
              <w:t xml:space="preserve">Manufacturing, EU</w:t>
            </w:r>
          </w:p>
        </w:tc>
        <w:tc>
          <w:tcPr/>
          <w:p>
            <w:pPr>
              <w:pStyle w:val="Compact"/>
              <w:jc w:val="left"/>
            </w:pPr>
            <w:r>
              <w:t xml:space="preserve">0.15</w:t>
            </w:r>
          </w:p>
        </w:tc>
        <w:tc>
          <w:tcPr/>
          <w:p>
            <w:pPr>
              <w:pStyle w:val="Compact"/>
              <w:jc w:val="left"/>
            </w:pPr>
            <w:r>
              <w:t xml:space="preserve">kg</w:t>
            </w:r>
          </w:p>
        </w:tc>
        <w:tc>
          <w:tcPr/>
          <w:p>
            <w:pPr>
              <w:pStyle w:val="Compact"/>
              <w:jc w:val="left"/>
            </w:pPr>
            <w:r>
              <w:t xml:space="preserve">1.0</w:t>
            </w:r>
          </w:p>
        </w:tc>
        <w:tc>
          <w:tcPr/>
          <w:p>
            <w:pPr>
              <w:pStyle w:val="Compact"/>
              <w:jc w:val="left"/>
            </w:pPr>
            <w:r>
              <w:t xml:space="preserve">0.15</w:t>
            </w:r>
          </w:p>
        </w:tc>
      </w:tr>
      <w:tr>
        <w:tc>
          <w:tcPr/>
          <w:p>
            <w:pPr>
              <w:pStyle w:val="Compact"/>
              <w:jc w:val="left"/>
            </w:pPr>
            <w:r>
              <w:t xml:space="preserve">BOM006</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Recycled Content, EU</w:t>
            </w:r>
          </w:p>
        </w:tc>
        <w:tc>
          <w:tcPr/>
          <w:p>
            <w:pPr>
              <w:pStyle w:val="Compact"/>
              <w:jc w:val="left"/>
            </w:pPr>
            <w:r>
              <w:t xml:space="preserve">0.1</w:t>
            </w:r>
          </w:p>
        </w:tc>
        <w:tc>
          <w:tcPr/>
          <w:p>
            <w:pPr>
              <w:pStyle w:val="Compact"/>
              <w:jc w:val="left"/>
            </w:pPr>
            <w:r>
              <w:t xml:space="preserve">kg</w:t>
            </w:r>
          </w:p>
        </w:tc>
        <w:tc>
          <w:tcPr/>
          <w:p>
            <w:pPr>
              <w:pStyle w:val="Compact"/>
              <w:jc w:val="left"/>
            </w:pPr>
            <w:r>
              <w:t xml:space="preserve">0.7</w:t>
            </w:r>
          </w:p>
        </w:tc>
        <w:tc>
          <w:tcPr/>
          <w:p>
            <w:pPr>
              <w:pStyle w:val="Compact"/>
              <w:jc w:val="left"/>
            </w:pPr>
            <w:r>
              <w:t xml:space="preserve">0.07</w:t>
            </w:r>
          </w:p>
        </w:tc>
      </w:tr>
    </w:tbl>
    <w:p>
      <w:pPr>
        <w:pStyle w:val="BodyText"/>
      </w:pPr>
      <w:r>
        <w:rPr>
          <w:iCs/>
          <w:i/>
        </w:rPr>
        <w:t xml:space="preserve">Note: The BOM data above is illustrative, demonstrating the format specified by "jwurzsss". In a live analysis, these values would be directly derived from the actual BOM data provided for \'jwurzsss\'. Emission factors are representative industry averages.</w:t>
      </w:r>
    </w:p>
    <w:bookmarkEnd w:id="28"/>
    <w:bookmarkStart w:id="31" w:name="energy-inputs-for-production-phase"/>
    <w:p>
      <w:pPr>
        <w:pStyle w:val="Heading3"/>
      </w:pPr>
      <w:r>
        <w:t xml:space="preserve">2.2.2. Energy Inputs for Production Phase</w:t>
      </w:r>
    </w:p>
    <w:p>
      <w:pPr>
        <w:numPr>
          <w:ilvl w:val="0"/>
          <w:numId w:val="1003"/>
        </w:numPr>
        <w:pStyle w:val="Compact"/>
      </w:pPr>
      <w:r>
        <w:rPr>
          <w:bCs/>
          <w:b/>
        </w:rPr>
        <w:t xml:space="preserve">Energy Intensity (kWh/unit):</w:t>
      </w:r>
      <w:r>
        <w:t xml:space="preserve"> </w:t>
      </w:r>
      <w:bookmarkStart w:id="29" w:name="energyIntensity"/>
      <w:r>
        <w:t xml:space="preserve">wfeuwevezp</w:t>
      </w:r>
      <w:bookmarkEnd w:id="29"/>
      <w:r>
        <w:t xml:space="preserve"> </w:t>
      </w:r>
      <w:r>
        <w:t xml:space="preserve">kWh/unit.</w:t>
      </w:r>
      <w:r>
        <w:br/>
      </w:r>
      <w:r>
        <w:rPr>
          <w:iCs/>
          <w:i/>
        </w:rPr>
        <w:t xml:space="preserve">Assumption: Illustrative value of 10 kWh/unit used due to placeholder.</w:t>
      </w:r>
    </w:p>
    <w:p>
      <w:pPr>
        <w:numPr>
          <w:ilvl w:val="0"/>
          <w:numId w:val="1003"/>
        </w:numPr>
        <w:pStyle w:val="Compact"/>
      </w:pPr>
      <w:r>
        <w:rPr>
          <w:bCs/>
          <w:b/>
        </w:rPr>
        <w:t xml:space="preserve">Renewable Energy Usage:</w:t>
      </w:r>
      <w:r>
        <w:t xml:space="preserve"> </w:t>
      </w:r>
      <w:bookmarkStart w:id="30" w:name="renewableEnergyUsage"/>
      <w:r>
        <w:t xml:space="preserve">lkglrmsnqf</w:t>
      </w:r>
      <w:bookmarkEnd w:id="30"/>
      <w:r>
        <w:t xml:space="preserve">.</w:t>
      </w:r>
      <w:r>
        <w:br/>
      </w:r>
      <w:r>
        <w:rPr>
          <w:iCs/>
          <w:i/>
        </w:rPr>
        <w:t xml:space="preserve">Assumption: This percentage represents the portion of total electricity consumption sourced from renewable energy at the production facility. For calculation, we assume a representative value like 60% for \'lkglrmsnqf\' to demonstrate impact.</w:t>
      </w:r>
    </w:p>
    <w:p>
      <w:pPr>
        <w:numPr>
          <w:ilvl w:val="0"/>
          <w:numId w:val="1003"/>
        </w:numPr>
        <w:pStyle w:val="Compact"/>
      </w:pPr>
      <w:r>
        <w:rPr>
          <w:bCs/>
          <w:b/>
        </w:rPr>
        <w:t xml:space="preserve">Grid Electricity Emission Factor (China):</w:t>
      </w:r>
      <w:r>
        <w:t xml:space="preserve"> </w:t>
      </w:r>
      <w:r>
        <w:t xml:space="preserve">China\'s CO₂ emissions from electricity generation are forecast to fall to around 0.415 kg CO2/kWh by 2030, down from approximately 0.530 kg CO2/kWh in 2025. A value of 0.53 kg CO2e/kWh is used for 2026 as a representative value.</w:t>
      </w:r>
    </w:p>
    <w:bookmarkEnd w:id="31"/>
    <w:bookmarkStart w:id="35" w:name="transport-logistics-data"/>
    <w:p>
      <w:pPr>
        <w:pStyle w:val="Heading3"/>
      </w:pPr>
      <w:r>
        <w:t xml:space="preserve">2.2.3. Transport Logistics Data</w:t>
      </w:r>
    </w:p>
    <w:p>
      <w:pPr>
        <w:numPr>
          <w:ilvl w:val="0"/>
          <w:numId w:val="1004"/>
        </w:numPr>
        <w:pStyle w:val="Compact"/>
      </w:pPr>
      <w:r>
        <w:rPr>
          <w:bCs/>
          <w:b/>
        </w:rPr>
        <w:t xml:space="preserve">Transport Mode (Upstream):</w:t>
      </w:r>
      <w:r>
        <w:t xml:space="preserve"> </w:t>
      </w:r>
      <w:bookmarkStart w:id="32" w:name="transportMode"/>
      <w:r>
        <w:t xml:space="preserve">Select Mode</w:t>
      </w:r>
      <w:bookmarkEnd w:id="32"/>
      <w:r>
        <w:t xml:space="preserve">.</w:t>
      </w:r>
      <w:r>
        <w:br/>
      </w:r>
      <w:r>
        <w:rPr>
          <w:iCs/>
          <w:i/>
        </w:rPr>
        <w:t xml:space="preserve">Assumption: For the "Europe Focused" supply chain to China, we assume Sea Freight for bulk transport. Emission Factor (Sea Freight): 0.016 kg CO2e/tonne-km.</w:t>
      </w:r>
    </w:p>
    <w:p>
      <w:pPr>
        <w:numPr>
          <w:ilvl w:val="0"/>
          <w:numId w:val="1004"/>
        </w:numPr>
        <w:pStyle w:val="Compact"/>
      </w:pPr>
      <w:r>
        <w:rPr>
          <w:bCs/>
          <w:b/>
        </w:rPr>
        <w:t xml:space="preserve">Transport Distance (Upstream):</w:t>
      </w:r>
      <w:r>
        <w:t xml:space="preserve"> </w:t>
      </w:r>
      <w:bookmarkStart w:id="33" w:name="transportDistance"/>
      <w:r>
        <w:t xml:space="preserve">msyeqspexz</w:t>
      </w:r>
      <w:bookmarkEnd w:id="33"/>
      <w:r>
        <w:t xml:space="preserve">.</w:t>
      </w:r>
      <w:r>
        <w:br/>
      </w:r>
      <w:r>
        <w:rPr>
          <w:iCs/>
          <w:i/>
        </w:rPr>
        <w:t xml:space="preserve">Assumption: Illustrative international distance of 8,000 km used due to placeholder.</w:t>
      </w:r>
    </w:p>
    <w:p>
      <w:pPr>
        <w:numPr>
          <w:ilvl w:val="0"/>
          <w:numId w:val="1004"/>
        </w:numPr>
        <w:pStyle w:val="Compact"/>
      </w:pPr>
      <w:r>
        <w:rPr>
          <w:bCs/>
          <w:b/>
        </w:rPr>
        <w:t xml:space="preserve">Transport Mode (Last-Mile Delivery):</w:t>
      </w:r>
      <w:r>
        <w:t xml:space="preserve"> </w:t>
      </w:r>
      <w:bookmarkStart w:id="34" w:name="lastMileDelivery"/>
      <w:r>
        <w:t xml:space="preserve">Delivery Type</w:t>
      </w:r>
      <w:bookmarkEnd w:id="34"/>
      <w:r>
        <w:t xml:space="preserve">.</w:t>
      </w:r>
      <w:r>
        <w:br/>
      </w:r>
      <w:r>
        <w:rPr>
          <w:iCs/>
          <w:i/>
        </w:rPr>
        <w:t xml:space="preserve">Assumption: We assume Light Commercial Vehicle (LCV) for last-mile delivery. Emission Factor (LCV): 0.15 kg CO2e/tonne-km, consistent with typical road freight.</w:t>
      </w:r>
    </w:p>
    <w:p>
      <w:pPr>
        <w:numPr>
          <w:ilvl w:val="0"/>
          <w:numId w:val="1004"/>
        </w:numPr>
        <w:pStyle w:val="Compact"/>
      </w:pPr>
      <w:r>
        <w:rPr>
          <w:bCs/>
          <w:b/>
        </w:rPr>
        <w:t xml:space="preserve">Last-Mile Delivery Distance:</w:t>
      </w:r>
      <w:r>
        <w:t xml:space="preserve"> </w:t>
      </w:r>
      <w:r>
        <w:t xml:space="preserve">100 km (illustrative).</w:t>
      </w:r>
    </w:p>
    <w:p>
      <w:pPr>
        <w:numPr>
          <w:ilvl w:val="0"/>
          <w:numId w:val="1004"/>
        </w:numPr>
        <w:pStyle w:val="Compact"/>
      </w:pPr>
      <w:r>
        <w:rPr>
          <w:bCs/>
          <w:b/>
        </w:rPr>
        <w:t xml:space="preserve">Product Weight for Transport:</w:t>
      </w:r>
      <w:r>
        <w:t xml:space="preserve"> </w:t>
      </w:r>
      <w:r>
        <w:t xml:space="preserve">Sum of illustrative BOM quantities (e.g., 0.8 + 0.5 + 0.2 + 0.05 + 0.15 + 0.1 = 1.8 kg for illustrative BOM). This will be converted to tonnes for calculations.</w:t>
      </w:r>
    </w:p>
    <w:bookmarkEnd w:id="35"/>
    <w:bookmarkStart w:id="38" w:name="use-phase-data"/>
    <w:p>
      <w:pPr>
        <w:pStyle w:val="Heading3"/>
      </w:pPr>
      <w:r>
        <w:t xml:space="preserve">2.2.4. Use Phase Data</w:t>
      </w:r>
    </w:p>
    <w:p>
      <w:pPr>
        <w:numPr>
          <w:ilvl w:val="0"/>
          <w:numId w:val="1005"/>
        </w:numPr>
        <w:pStyle w:val="Compact"/>
      </w:pPr>
      <w:r>
        <w:rPr>
          <w:bCs/>
          <w:b/>
        </w:rPr>
        <w:t xml:space="preserve">Product Lifespan:</w:t>
      </w:r>
      <w:r>
        <w:t xml:space="preserve"> </w:t>
      </w:r>
      <w:bookmarkStart w:id="36" w:name="productLifespan"/>
      <w:r>
        <w:t xml:space="preserve">ixpsupsyld</w:t>
      </w:r>
      <w:bookmarkEnd w:id="36"/>
      <w:r>
        <w:t xml:space="preserve">.</w:t>
      </w:r>
      <w:r>
        <w:br/>
      </w:r>
      <w:r>
        <w:rPr>
          <w:iCs/>
          <w:i/>
        </w:rPr>
        <w:t xml:space="preserve">Assumption: Illustrative lifespan of 3 years used due to placeholder.</w:t>
      </w:r>
    </w:p>
    <w:p>
      <w:pPr>
        <w:numPr>
          <w:ilvl w:val="0"/>
          <w:numId w:val="1005"/>
        </w:numPr>
        <w:pStyle w:val="Compact"/>
      </w:pPr>
      <w:r>
        <w:rPr>
          <w:bCs/>
          <w:b/>
        </w:rPr>
        <w:t xml:space="preserve">Energy Consumption in Use:</w:t>
      </w:r>
      <w:r>
        <w:t xml:space="preserve"> </w:t>
      </w:r>
      <w:bookmarkStart w:id="37" w:name="energyConsumptionUse"/>
      <w:r>
        <w:t xml:space="preserve">mqushivfti</w:t>
      </w:r>
      <w:bookmarkEnd w:id="37"/>
      <w:r>
        <w:t xml:space="preserve"> </w:t>
      </w:r>
      <w:r>
        <w:t xml:space="preserve">kWh/year.</w:t>
      </w:r>
      <w:r>
        <w:br/>
      </w:r>
      <w:r>
        <w:rPr>
          <w:iCs/>
          <w:i/>
        </w:rPr>
        <w:t xml:space="preserve">Assumption: Illustrative consumption of 5 kWh/year used due to placeholder.</w:t>
      </w:r>
    </w:p>
    <w:p>
      <w:pPr>
        <w:numPr>
          <w:ilvl w:val="0"/>
          <w:numId w:val="1005"/>
        </w:numPr>
        <w:pStyle w:val="Compact"/>
      </w:pPr>
      <w:r>
        <w:rPr>
          <w:bCs/>
          <w:b/>
        </w:rPr>
        <w:t xml:space="preserve">Electricity Grid Emission Factor (Europe Focused - Average):</w:t>
      </w:r>
      <w:r>
        <w:t xml:space="preserve"> </w:t>
      </w:r>
      <w:r>
        <w:t xml:space="preserve">The European Union is forecast to post a sharp fall in emissions intensity from electricity generation, dropping from 0.170 kg CO₂/kWh in 2025 to 0.090 kg CO₂/kWh by 2030. An average value of 0.238 kg CO2e/kWh is used as a representative value.</w:t>
      </w:r>
    </w:p>
    <w:bookmarkEnd w:id="38"/>
    <w:bookmarkStart w:id="41" w:name="end-of-life-eol-scenarios"/>
    <w:p>
      <w:pPr>
        <w:pStyle w:val="Heading3"/>
      </w:pPr>
      <w:r>
        <w:t xml:space="preserve">2.2.5. End-of-Life (EoL) Scenarios</w:t>
      </w:r>
    </w:p>
    <w:p>
      <w:pPr>
        <w:numPr>
          <w:ilvl w:val="0"/>
          <w:numId w:val="1006"/>
        </w:numPr>
        <w:pStyle w:val="Compact"/>
      </w:pPr>
      <w:r>
        <w:rPr>
          <w:bCs/>
          <w:b/>
        </w:rPr>
        <w:t xml:space="preserve">Recyclability Percentage:</w:t>
      </w:r>
      <w:r>
        <w:t xml:space="preserve"> </w:t>
      </w:r>
      <w:bookmarkStart w:id="39" w:name="recyclabilityPercentage"/>
      <w:r>
        <w:t xml:space="preserve">trzvklllor</w:t>
      </w:r>
      <w:bookmarkEnd w:id="39"/>
      <w:r>
        <w:t xml:space="preserve">.</w:t>
      </w:r>
      <w:r>
        <w:br/>
      </w:r>
      <w:r>
        <w:rPr>
          <w:iCs/>
          <w:i/>
        </w:rPr>
        <w:t xml:space="preserve">Assumption: Illustrative recyclability of 70% used due to placeholder.</w:t>
      </w:r>
    </w:p>
    <w:p>
      <w:pPr>
        <w:numPr>
          <w:ilvl w:val="0"/>
          <w:numId w:val="1006"/>
        </w:numPr>
        <w:pStyle w:val="Compact"/>
      </w:pPr>
      <w:r>
        <w:rPr>
          <w:bCs/>
          <w:b/>
        </w:rPr>
        <w:t xml:space="preserve">Circular/Take-back Programs:</w:t>
      </w:r>
      <w:r>
        <w:t xml:space="preserve"> </w:t>
      </w:r>
      <w:bookmarkStart w:id="40" w:name="circularPrograms"/>
      <w:r>
        <w:t xml:space="preserve">yxxgilmzxl</w:t>
      </w:r>
      <w:bookmarkEnd w:id="40"/>
      <w:r>
        <w:t xml:space="preserve">.</w:t>
      </w:r>
      <w:r>
        <w:br/>
      </w:r>
      <w:r>
        <w:rPr>
          <w:iCs/>
          <w:i/>
        </w:rPr>
        <w:t xml:space="preserve">Assumption: We assume \'yxxgilmzxl\' indicates the presence of an active take-back program that facilitates the stated recyclability. Avoided emissions credit is applied for recycled content; emissions from collection and sorting are considered.</w:t>
      </w:r>
    </w:p>
    <w:p>
      <w:pPr>
        <w:numPr>
          <w:ilvl w:val="0"/>
          <w:numId w:val="1006"/>
        </w:numPr>
        <w:pStyle w:val="Compact"/>
      </w:pPr>
      <w:r>
        <w:rPr>
          <w:bCs/>
          <w:b/>
        </w:rPr>
        <w:t xml:space="preserve">End-of-Life Treatment Emission Factors:</w:t>
      </w:r>
    </w:p>
    <w:p>
      <w:pPr>
        <w:numPr>
          <w:ilvl w:val="1"/>
          <w:numId w:val="1007"/>
        </w:numPr>
        <w:pStyle w:val="Compact"/>
      </w:pPr>
      <w:r>
        <w:t xml:space="preserve">Recycling: -1.0 kg CO2e/kg (avoided emissions for typical materials, net of processing, illustrative).</w:t>
      </w:r>
    </w:p>
    <w:p>
      <w:pPr>
        <w:numPr>
          <w:ilvl w:val="1"/>
          <w:numId w:val="1007"/>
        </w:numPr>
        <w:pStyle w:val="Compact"/>
      </w:pPr>
      <w:r>
        <w:t xml:space="preserve">Landfill: 0.1 kg CO2e/kg (for non-recyclable waste, illustrative).</w:t>
      </w:r>
    </w:p>
    <w:p>
      <w:r>
        <w:pict>
          <v:rect style="width:0;height:1.5pt" o:hralign="center" o:hrstd="t" o:hr="t"/>
        </w:pict>
      </w:r>
    </w:p>
    <w:bookmarkEnd w:id="41"/>
    <w:bookmarkEnd w:id="42"/>
    <w:bookmarkEnd w:id="43"/>
    <w:bookmarkStart w:id="60" w:name="X1c8171c586e477742acfa996d1ad2f19c4b4abd"/>
    <w:p>
      <w:pPr>
        <w:pStyle w:val="Heading1"/>
      </w:pPr>
      <w:r>
        <w:t xml:space="preserve">3. Emissions Calculation and Hotspot Analysis (Scope 1, 2, &amp; 3)</w:t>
      </w:r>
    </w:p>
    <w:p>
      <w:pPr>
        <w:pStyle w:val="FirstParagraph"/>
      </w:pPr>
      <w:r>
        <w:t xml:space="preserve">This section details the calculation of emissions for each lifecycle stage, categorized according to the GHG Protocol\'s Scope 1, 2, and 3 definitions. All calculations are performed on a 1.0 unit functional basis.</w:t>
      </w:r>
    </w:p>
    <w:bookmarkStart w:id="45" w:name="Xff31e690bfe279af69cf88b9219fe5d56042afb"/>
    <w:p>
      <w:pPr>
        <w:pStyle w:val="Heading2"/>
      </w:pPr>
      <w:r>
        <w:t xml:space="preserve">3.1. Raw Material Acquisition &amp; Pre-processing (Scope 3 - Upstream)</w:t>
      </w:r>
    </w:p>
    <w:p>
      <w:pPr>
        <w:pStyle w:val="FirstParagraph"/>
      </w:pPr>
      <w:r>
        <w:t xml:space="preserve">Emissions from materials are calculated by summing the "Total Carbon" from the illustrative BOM provided in Section 2.2.1. In a real scenario, these would be directly from the parsed \'jwurzsss\' data.</w:t>
      </w:r>
    </w:p>
    <w:p>
      <w:pPr>
        <w:pStyle w:val="BodyText"/>
      </w:pPr>
      <w:r>
        <w:rPr>
          <w:bCs/>
          <w:b/>
        </w:rPr>
        <w:t xml:space="preserve">Total Material Impact:</w:t>
      </w:r>
    </w:p>
    <w:p>
      <w:pPr>
        <w:numPr>
          <w:ilvl w:val="0"/>
          <w:numId w:val="1008"/>
        </w:numPr>
        <w:pStyle w:val="Compact"/>
      </w:pPr>
      <w:r>
        <w:t xml:space="preserve">Aluminium Casing: 5.28 kg CO2e</w:t>
      </w:r>
    </w:p>
    <w:p>
      <w:pPr>
        <w:numPr>
          <w:ilvl w:val="0"/>
          <w:numId w:val="1008"/>
        </w:numPr>
        <w:pStyle w:val="Compact"/>
      </w:pPr>
      <w:r>
        <w:t xml:space="preserve">Recycled Plastic Housing: 0.60 kg CO2e</w:t>
      </w:r>
    </w:p>
    <w:p>
      <w:pPr>
        <w:numPr>
          <w:ilvl w:val="0"/>
          <w:numId w:val="1008"/>
        </w:numPr>
        <w:pStyle w:val="Compact"/>
      </w:pPr>
      <w:r>
        <w:t xml:space="preserve">Electronic Circuit Board: 3.00 kg CO2e</w:t>
      </w:r>
    </w:p>
    <w:p>
      <w:pPr>
        <w:numPr>
          <w:ilvl w:val="0"/>
          <w:numId w:val="1008"/>
        </w:numPr>
        <w:pStyle w:val="Compact"/>
      </w:pPr>
      <w:r>
        <w:t xml:space="preserve">Copper Wiring: 0.205 kg CO2e</w:t>
      </w:r>
    </w:p>
    <w:p>
      <w:pPr>
        <w:numPr>
          <w:ilvl w:val="0"/>
          <w:numId w:val="1008"/>
        </w:numPr>
        <w:pStyle w:val="Compact"/>
      </w:pPr>
      <w:r>
        <w:t xml:space="preserve">Glass Display: 0.15 kg CO2e</w:t>
      </w:r>
    </w:p>
    <w:p>
      <w:pPr>
        <w:numPr>
          <w:ilvl w:val="0"/>
          <w:numId w:val="1008"/>
        </w:numPr>
        <w:pStyle w:val="Compact"/>
      </w:pPr>
      <w:r>
        <w:t xml:space="preserve">Packaging (Recycled Cardboard): 0.07 kg CO2e</w:t>
      </w:r>
    </w:p>
    <w:p>
      <w:pPr>
        <w:pStyle w:val="FirstParagraph"/>
      </w:pPr>
      <w:r>
        <w:rPr>
          <w:bCs/>
          <w:b/>
        </w:rPr>
        <w:t xml:space="preserve">Total Emissions from Materials =</w:t>
      </w:r>
      <w:r>
        <w:rPr>
          <w:bCs/>
          <w:b/>
        </w:rPr>
        <w:t xml:space="preserve"> </w:t>
      </w:r>
      <w:bookmarkStart w:id="44" w:name="totalMaterialImpact"/>
      <w:r>
        <w:rPr>
          <w:bCs/>
          <w:b/>
        </w:rPr>
        <w:t xml:space="preserve">9.305</w:t>
      </w:r>
      <w:bookmarkEnd w:id="44"/>
      <w:r>
        <w:rPr>
          <w:bCs/>
          <w:b/>
        </w:rPr>
        <w:t xml:space="preserve"> </w:t>
      </w:r>
      <w:r>
        <w:rPr>
          <w:bCs/>
          <w:b/>
        </w:rPr>
        <w:t xml:space="preserve">kg CO2e</w:t>
      </w:r>
    </w:p>
    <w:bookmarkEnd w:id="45"/>
    <w:bookmarkStart w:id="47" w:name="X37df0a9d025edb2dfdf4547c7e564da812eae6c"/>
    <w:p>
      <w:pPr>
        <w:pStyle w:val="Heading2"/>
      </w:pPr>
      <w:r>
        <w:t xml:space="preserve">3.2. Transport to Manufacturer (A2) (Scope 3 - Upstream)</w:t>
      </w:r>
    </w:p>
    <w:p>
      <w:pPr>
        <w:pStyle w:val="FirstParagraph"/>
      </w:pPr>
      <w:r>
        <w:t xml:space="preserve">Product weight (illustrative from BOM sum): 1.8 kg = 0.0018 tonnes</w:t>
      </w:r>
    </w:p>
    <w:p>
      <w:pPr>
        <w:pStyle w:val="BodyText"/>
      </w:pPr>
      <w:r>
        <w:rPr>
          <w:bCs/>
          <w:b/>
        </w:rPr>
        <w:t xml:space="preserve">Upstream Transport Emissions:</w:t>
      </w:r>
      <w:r>
        <w:br/>
      </w:r>
      <w:r>
        <w:t xml:space="preserve">(Product Weight in tonnes) × (Transport Distance in km) × (Emission Factor kg CO2e/tonne-km)</w:t>
      </w:r>
      <w:r>
        <w:br/>
      </w:r>
      <w:r>
        <w:t xml:space="preserve">0.0018 tonnes ×</w:t>
      </w:r>
      <w:r>
        <w:t xml:space="preserve"> </w:t>
      </w:r>
      <w:bookmarkStart w:id="46" w:name="calcTransportDistance2"/>
      <w:r>
        <w:t xml:space="preserve">8000</w:t>
      </w:r>
      <w:bookmarkEnd w:id="46"/>
      <w:r>
        <w:t xml:space="preserve"> </w:t>
      </w:r>
      <w:r>
        <w:t xml:space="preserve">km × 0.016 kg CO2e/tonne-km = 0.230 kg CO2e</w:t>
      </w:r>
    </w:p>
    <w:p>
      <w:pPr>
        <w:pStyle w:val="BodyText"/>
      </w:pPr>
      <w:r>
        <w:rPr>
          <w:bCs/>
          <w:b/>
        </w:rPr>
        <w:t xml:space="preserve">Total Emissions from Upstream Transport = 0.230 kg CO2e</w:t>
      </w:r>
    </w:p>
    <w:bookmarkEnd w:id="47"/>
    <w:bookmarkStart w:id="52" w:name="manufacturingproduction-a3-scope-1-2"/>
    <w:p>
      <w:pPr>
        <w:pStyle w:val="Heading2"/>
      </w:pPr>
      <w:r>
        <w:t xml:space="preserve">3.3. Manufacturing/Production (A3) (Scope 1 &amp; 2)</w:t>
      </w:r>
    </w:p>
    <w:p>
      <w:pPr>
        <w:pStyle w:val="FirstParagraph"/>
      </w:pPr>
      <w:r>
        <w:t xml:space="preserve">This phase includes direct emissions (Scope 1) if any (not specified, assumed minimal for this analysis beyond energy), and indirect emissions from purchased electricity (Scope 2).</w:t>
      </w:r>
    </w:p>
    <w:p>
      <w:pPr>
        <w:pStyle w:val="BodyText"/>
      </w:pPr>
      <w:r>
        <w:rPr>
          <w:bCs/>
          <w:b/>
        </w:rPr>
        <w:t xml:space="preserve">Total Electricity Consumption:</w:t>
      </w:r>
      <w:r>
        <w:t xml:space="preserve"> </w:t>
      </w:r>
      <w:bookmarkStart w:id="48" w:name="calcEnergyIntensity"/>
      <w:r>
        <w:t xml:space="preserve">10</w:t>
      </w:r>
      <w:bookmarkEnd w:id="48"/>
      <w:r>
        <w:t xml:space="preserve"> </w:t>
      </w:r>
      <w:r>
        <w:t xml:space="preserve">kWh/unit</w:t>
      </w:r>
      <w:r>
        <w:br/>
      </w:r>
      <w:r>
        <w:rPr>
          <w:bCs/>
          <w:b/>
        </w:rPr>
        <w:t xml:space="preserve">Renewable Energy Sourced:</w:t>
      </w:r>
      <w:r>
        <w:t xml:space="preserve"> </w:t>
      </w:r>
      <w:bookmarkStart w:id="49" w:name="calcRenewableEnergyUsage"/>
      <w:r>
        <w:t xml:space="preserve">60</w:t>
      </w:r>
      <w:bookmarkEnd w:id="49"/>
      <w:r>
        <w:t xml:space="preserve">%</w:t>
      </w:r>
      <w:r>
        <w:br/>
      </w:r>
      <w:r>
        <w:rPr>
          <w:bCs/>
          <w:b/>
        </w:rPr>
        <w:t xml:space="preserve">Grid Electricity Consumed:</w:t>
      </w:r>
      <w:r>
        <w:t xml:space="preserve"> </w:t>
      </w:r>
      <w:bookmarkStart w:id="50" w:name="calcEnergyIntensity2"/>
      <w:r>
        <w:t xml:space="preserve">10</w:t>
      </w:r>
      <w:bookmarkEnd w:id="50"/>
      <w:r>
        <w:t xml:space="preserve"> </w:t>
      </w:r>
      <w:r>
        <w:t xml:space="preserve">kWh × (1 -</w:t>
      </w:r>
      <w:r>
        <w:t xml:space="preserve"> </w:t>
      </w:r>
      <w:bookmarkStart w:id="51" w:name="calcRenewableEnergyUsage2"/>
      <w:r>
        <w:t xml:space="preserve">0.60</w:t>
      </w:r>
      <w:bookmarkEnd w:id="51"/>
      <w:r>
        <w:t xml:space="preserve">) = 4 kWh/unit</w:t>
      </w:r>
    </w:p>
    <w:p>
      <w:pPr>
        <w:pStyle w:val="BodyText"/>
      </w:pPr>
      <w:r>
        <w:rPr>
          <w:bCs/>
          <w:b/>
        </w:rPr>
        <w:t xml:space="preserve">Scope 2 Emissions (Purchased Electricity):</w:t>
      </w:r>
      <w:r>
        <w:br/>
      </w:r>
      <w:r>
        <w:t xml:space="preserve">(Grid Electricity Consumed) × (Grid Electricity Emission Factor for China)</w:t>
      </w:r>
      <w:r>
        <w:br/>
      </w:r>
      <w:r>
        <w:t xml:space="preserve">4 kWh/unit × 0.53 kg CO2e/kWh = 2.12 kg CO2e</w:t>
      </w:r>
    </w:p>
    <w:p>
      <w:pPr>
        <w:pStyle w:val="BodyText"/>
      </w:pPr>
      <w:r>
        <w:rPr>
          <w:bCs/>
          <w:b/>
        </w:rPr>
        <w:t xml:space="preserve">Total Emissions from Manufacturing (Scope 2) = 2.12 kg CO2e</w:t>
      </w:r>
    </w:p>
    <w:p>
      <w:pPr>
        <w:pStyle w:val="BodyText"/>
      </w:pPr>
      <w:r>
        <w:rPr>
          <w:iCs/>
          <w:i/>
        </w:rPr>
        <w:t xml:space="preserve">Note: Scope 1 emissions for manufacturing, such as from owned vehicles or on-site combustion, are assumed to be negligible or not provided for this specific product\'s factory-gate boundary and are not quantified explicitly here.</w:t>
      </w:r>
    </w:p>
    <w:bookmarkEnd w:id="52"/>
    <w:bookmarkStart w:id="53" w:name="X5db6a9e01fee4bed907b0ead0cacbd8895b8eac"/>
    <w:p>
      <w:pPr>
        <w:pStyle w:val="Heading2"/>
      </w:pPr>
      <w:r>
        <w:t xml:space="preserve">3.4. Transport to Customer (A4) (Scope 3 - Downstream)</w:t>
      </w:r>
    </w:p>
    <w:p>
      <w:pPr>
        <w:pStyle w:val="FirstParagraph"/>
      </w:pPr>
      <w:r>
        <w:rPr>
          <w:bCs/>
          <w:b/>
        </w:rPr>
        <w:t xml:space="preserve">Last-Mile Delivery Emissions:</w:t>
      </w:r>
      <w:r>
        <w:br/>
      </w:r>
      <w:r>
        <w:t xml:space="preserve">(Product Weight in tonnes) × (Last-Mile Distance in km) × (Emission Factor LCV kg CO2e/tonne-km)</w:t>
      </w:r>
      <w:r>
        <w:br/>
      </w:r>
      <w:r>
        <w:t xml:space="preserve">0.0018 tonnes × 100 km × 0.15 kg CO2e/tonne-km = 0.027 kg CO2e</w:t>
      </w:r>
    </w:p>
    <w:p>
      <w:pPr>
        <w:pStyle w:val="BodyText"/>
      </w:pPr>
      <w:r>
        <w:rPr>
          <w:bCs/>
          <w:b/>
        </w:rPr>
        <w:t xml:space="preserve">Total Emissions from Downstream Transport = 0.027 kg CO2e</w:t>
      </w:r>
    </w:p>
    <w:bookmarkEnd w:id="53"/>
    <w:bookmarkStart w:id="56" w:name="use-phase-b-scope-3---downstream"/>
    <w:p>
      <w:pPr>
        <w:pStyle w:val="Heading2"/>
      </w:pPr>
      <w:r>
        <w:t xml:space="preserve">3.5. Use Phase (B) (Scope 3 - Downstream)</w:t>
      </w:r>
    </w:p>
    <w:p>
      <w:pPr>
        <w:pStyle w:val="FirstParagraph"/>
      </w:pPr>
      <w:r>
        <w:rPr>
          <w:bCs/>
          <w:b/>
        </w:rPr>
        <w:t xml:space="preserve">Total Energy Consumption over Lifespan:</w:t>
      </w:r>
      <w:r>
        <w:br/>
      </w:r>
      <w:r>
        <w:t xml:space="preserve">(</w:t>
      </w:r>
      <w:bookmarkStart w:id="54" w:name="calcEnergyConsumptionUse"/>
      <w:r>
        <w:t xml:space="preserve">5</w:t>
      </w:r>
      <w:bookmarkEnd w:id="54"/>
      <w:r>
        <w:t xml:space="preserve"> </w:t>
      </w:r>
      <w:r>
        <w:t xml:space="preserve">kWh/year) × (</w:t>
      </w:r>
      <w:bookmarkStart w:id="55" w:name="calcProductLifespan"/>
      <w:r>
        <w:t xml:space="preserve">3</w:t>
      </w:r>
      <w:bookmarkEnd w:id="55"/>
      <w:r>
        <w:t xml:space="preserve"> </w:t>
      </w:r>
      <w:r>
        <w:t xml:space="preserve">years) = 15 kWh</w:t>
      </w:r>
    </w:p>
    <w:p>
      <w:pPr>
        <w:pStyle w:val="BodyText"/>
      </w:pPr>
      <w:r>
        <w:rPr>
          <w:bCs/>
          <w:b/>
        </w:rPr>
        <w:t xml:space="preserve">Use Phase Emissions:</w:t>
      </w:r>
      <w:r>
        <w:br/>
      </w:r>
      <w:r>
        <w:t xml:space="preserve">(Total Energy Consumption) × (Electricity Grid Emission Factor for Europe)</w:t>
      </w:r>
      <w:r>
        <w:br/>
      </w:r>
      <w:r>
        <w:t xml:space="preserve">15 kWh × 0.238 kg CO2e/kWh = 3.57 kg CO2e</w:t>
      </w:r>
    </w:p>
    <w:p>
      <w:pPr>
        <w:pStyle w:val="BodyText"/>
      </w:pPr>
      <w:r>
        <w:rPr>
          <w:bCs/>
          <w:b/>
        </w:rPr>
        <w:t xml:space="preserve">Total Emissions from Use Phase = 3.57 kg CO2e</w:t>
      </w:r>
    </w:p>
    <w:bookmarkEnd w:id="56"/>
    <w:bookmarkStart w:id="59" w:name="end-of-life-c-scope-3---downstream"/>
    <w:p>
      <w:pPr>
        <w:pStyle w:val="Heading2"/>
      </w:pPr>
      <w:r>
        <w:t xml:space="preserve">3.6. End-of-Life (C) (Scope 3 - Downstream)</w:t>
      </w:r>
    </w:p>
    <w:p>
      <w:pPr>
        <w:pStyle w:val="FirstParagraph"/>
      </w:pPr>
      <w:r>
        <w:t xml:space="preserve">Product weight (total): 1.8 kg</w:t>
      </w:r>
    </w:p>
    <w:p>
      <w:pPr>
        <w:pStyle w:val="BodyText"/>
      </w:pPr>
      <w:r>
        <w:rPr>
          <w:bCs/>
          <w:b/>
        </w:rPr>
        <w:t xml:space="preserve">Recycled Portion:</w:t>
      </w:r>
      <w:r>
        <w:t xml:space="preserve"> </w:t>
      </w:r>
      <w:r>
        <w:t xml:space="preserve">1.8 kg ×</w:t>
      </w:r>
      <w:r>
        <w:t xml:space="preserve"> </w:t>
      </w:r>
      <w:bookmarkStart w:id="57" w:name="calcRecyclabilityPercentage"/>
      <w:r>
        <w:t xml:space="preserve">0.70</w:t>
      </w:r>
      <w:bookmarkEnd w:id="57"/>
      <w:r>
        <w:t xml:space="preserve"> </w:t>
      </w:r>
      <w:r>
        <w:t xml:space="preserve">= 1.26 kg</w:t>
      </w:r>
      <w:r>
        <w:br/>
      </w:r>
      <w:r>
        <w:rPr>
          <w:bCs/>
          <w:b/>
        </w:rPr>
        <w:t xml:space="preserve">Landfilled/Incinerated Portion:</w:t>
      </w:r>
      <w:r>
        <w:t xml:space="preserve"> </w:t>
      </w:r>
      <w:r>
        <w:t xml:space="preserve">1.8 kg × (1 -</w:t>
      </w:r>
      <w:r>
        <w:t xml:space="preserve"> </w:t>
      </w:r>
      <w:bookmarkStart w:id="58" w:name="calcRecyclabilityPercentage2"/>
      <w:r>
        <w:t xml:space="preserve">0.70</w:t>
      </w:r>
      <w:bookmarkEnd w:id="58"/>
      <w:r>
        <w:t xml:space="preserve">) = 0.54 kg</w:t>
      </w:r>
    </w:p>
    <w:p>
      <w:pPr>
        <w:pStyle w:val="BodyText"/>
      </w:pPr>
      <w:r>
        <w:rPr>
          <w:bCs/>
          <w:b/>
        </w:rPr>
        <w:t xml:space="preserve">Emissions/Avoided Emissions:</w:t>
      </w:r>
      <w:r>
        <w:br/>
      </w:r>
      <w:r>
        <w:t xml:space="preserve">(Recycled Portion × Recycling Emission Factor) + (Landfilled Portion × Landfill Emission Factor)</w:t>
      </w:r>
      <w:r>
        <w:br/>
      </w:r>
      <w:r>
        <w:t xml:space="preserve">(1.26 kg × -1.0 kg CO2e/kg) + (0.54 kg × 0.1 kg CO2e/kg)</w:t>
      </w:r>
      <w:r>
        <w:br/>
      </w:r>
      <w:r>
        <w:t xml:space="preserve">-1.26 kg CO2e + 0.054 kg CO2e = -1.206 kg CO2e</w:t>
      </w:r>
    </w:p>
    <w:p>
      <w:pPr>
        <w:pStyle w:val="BodyText"/>
      </w:pPr>
      <w:r>
        <w:rPr>
          <w:bCs/>
          <w:b/>
        </w:rPr>
        <w:t xml:space="preserve">Total Emissions from End-of-Life = -1.206 kg CO2e</w:t>
      </w:r>
      <w:r>
        <w:t xml:space="preserve"> </w:t>
      </w:r>
      <w:r>
        <w:t xml:space="preserve">(Net Removal/Avoided Emissions)</w:t>
      </w:r>
    </w:p>
    <w:p>
      <w:r>
        <w:pict>
          <v:rect style="width:0;height:1.5pt" o:hralign="center" o:hrstd="t" o:hr="t"/>
        </w:pict>
      </w:r>
    </w:p>
    <w:bookmarkEnd w:id="59"/>
    <w:bookmarkEnd w:id="60"/>
    <w:bookmarkStart w:id="63" w:name="overall-product-carbon-footprint-pcf"/>
    <w:p>
      <w:pPr>
        <w:pStyle w:val="Heading1"/>
      </w:pPr>
      <w:r>
        <w:t xml:space="preserve">4. Overall Product Carbon Footprint (PCF)</w:t>
      </w:r>
    </w:p>
    <w:p>
      <w:pPr>
        <w:pStyle w:val="FirstParagraph"/>
      </w:pPr>
      <w:r>
        <w:t xml:space="preserve">The aggregated Product Carbon Footprint for one functional unit of</w:t>
      </w:r>
      <w:r>
        <w:t xml:space="preserve"> </w:t>
      </w:r>
      <w:r>
        <w:rPr>
          <w:bCs/>
          <w:b/>
        </w:rPr>
        <w:t xml:space="preserve">vzioyzzwxl</w:t>
      </w:r>
      <w:r>
        <w:t xml:space="preserve"> </w:t>
      </w:r>
      <w:r>
        <w:t xml:space="preserve">is summarized below, categorized by GHG Protocol scopes.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Raw Material Acquisition &amp; Pre-processing</w:t>
            </w:r>
          </w:p>
        </w:tc>
        <w:tc>
          <w:tcPr/>
          <w:p>
            <w:pPr>
              <w:pStyle w:val="Compact"/>
              <w:jc w:val="left"/>
            </w:pPr>
            <w:r>
              <w:t xml:space="preserve">Scope 3 (Upstream)</w:t>
            </w:r>
          </w:p>
        </w:tc>
        <w:tc>
          <w:tcPr/>
          <w:p>
            <w:pPr>
              <w:pStyle w:val="Compact"/>
              <w:jc w:val="left"/>
            </w:pPr>
            <w:r>
              <w:t xml:space="preserve">9.305</w:t>
            </w:r>
          </w:p>
        </w:tc>
      </w:tr>
      <w:tr>
        <w:tc>
          <w:tcPr/>
          <w:p>
            <w:pPr>
              <w:pStyle w:val="Compact"/>
              <w:jc w:val="left"/>
            </w:pPr>
            <w:r>
              <w:t xml:space="preserve">Transport to Manufacturer (A2)</w:t>
            </w:r>
          </w:p>
        </w:tc>
        <w:tc>
          <w:tcPr/>
          <w:p>
            <w:pPr>
              <w:pStyle w:val="Compact"/>
              <w:jc w:val="left"/>
            </w:pPr>
            <w:r>
              <w:t xml:space="preserve">Scope 3 (Upstream)</w:t>
            </w:r>
          </w:p>
        </w:tc>
        <w:tc>
          <w:tcPr/>
          <w:p>
            <w:pPr>
              <w:pStyle w:val="Compact"/>
              <w:jc w:val="left"/>
            </w:pPr>
            <w:r>
              <w:t xml:space="preserve">0.230</w:t>
            </w:r>
          </w:p>
        </w:tc>
      </w:tr>
      <w:tr>
        <w:tc>
          <w:tcPr/>
          <w:p>
            <w:pPr>
              <w:pStyle w:val="Compact"/>
              <w:jc w:val="left"/>
            </w:pPr>
            <w:r>
              <w:t xml:space="preserve">Manufacturing/Production (A3)</w:t>
            </w:r>
          </w:p>
        </w:tc>
        <w:tc>
          <w:tcPr/>
          <w:p>
            <w:pPr>
              <w:pStyle w:val="Compact"/>
              <w:jc w:val="left"/>
            </w:pPr>
            <w:r>
              <w:t xml:space="preserve">Scope 2 (Purchased Electricity)</w:t>
            </w:r>
          </w:p>
        </w:tc>
        <w:tc>
          <w:tcPr/>
          <w:p>
            <w:pPr>
              <w:pStyle w:val="Compact"/>
              <w:jc w:val="left"/>
            </w:pPr>
            <w:r>
              <w:t xml:space="preserve">2.120</w:t>
            </w:r>
          </w:p>
        </w:tc>
      </w:tr>
      <w:tr>
        <w:tc>
          <w:tcPr/>
          <w:p>
            <w:pPr>
              <w:pStyle w:val="Compact"/>
              <w:jc w:val="left"/>
            </w:pPr>
            <w:r>
              <w:t xml:space="preserve">Transport to Customer (A4)</w:t>
            </w:r>
          </w:p>
        </w:tc>
        <w:tc>
          <w:tcPr/>
          <w:p>
            <w:pPr>
              <w:pStyle w:val="Compact"/>
              <w:jc w:val="left"/>
            </w:pPr>
            <w:r>
              <w:t xml:space="preserve">Scope 3 (Downstream)</w:t>
            </w:r>
          </w:p>
        </w:tc>
        <w:tc>
          <w:tcPr/>
          <w:p>
            <w:pPr>
              <w:pStyle w:val="Compact"/>
              <w:jc w:val="left"/>
            </w:pPr>
            <w:r>
              <w:t xml:space="preserve">0.027</w:t>
            </w:r>
          </w:p>
        </w:tc>
      </w:tr>
      <w:tr>
        <w:tc>
          <w:tcPr/>
          <w:p>
            <w:pPr>
              <w:pStyle w:val="Compact"/>
              <w:jc w:val="left"/>
            </w:pPr>
            <w:r>
              <w:t xml:space="preserve">Use Phase (B)</w:t>
            </w:r>
          </w:p>
        </w:tc>
        <w:tc>
          <w:tcPr/>
          <w:p>
            <w:pPr>
              <w:pStyle w:val="Compact"/>
              <w:jc w:val="left"/>
            </w:pPr>
            <w:r>
              <w:t xml:space="preserve">Scope 3 (Downstream)</w:t>
            </w:r>
          </w:p>
        </w:tc>
        <w:tc>
          <w:tcPr/>
          <w:p>
            <w:pPr>
              <w:pStyle w:val="Compact"/>
              <w:jc w:val="left"/>
            </w:pPr>
            <w:r>
              <w:t xml:space="preserve">3.570</w:t>
            </w:r>
          </w:p>
        </w:tc>
      </w:tr>
      <w:tr>
        <w:tc>
          <w:tcPr/>
          <w:p>
            <w:pPr>
              <w:pStyle w:val="Compact"/>
              <w:jc w:val="left"/>
            </w:pPr>
            <w:r>
              <w:t xml:space="preserve">End-of-Life (C)</w:t>
            </w:r>
          </w:p>
        </w:tc>
        <w:tc>
          <w:tcPr/>
          <w:p>
            <w:pPr>
              <w:pStyle w:val="Compact"/>
              <w:jc w:val="left"/>
            </w:pPr>
            <w:r>
              <w:t xml:space="preserve">Scope 3 (Downstream)</w:t>
            </w:r>
          </w:p>
        </w:tc>
        <w:tc>
          <w:tcPr/>
          <w:p>
            <w:pPr>
              <w:pStyle w:val="Compact"/>
              <w:jc w:val="left"/>
            </w:pPr>
            <w:r>
              <w:t xml:space="preserve">-1.206</w:t>
            </w:r>
          </w:p>
        </w:tc>
      </w:tr>
      <w:tr>
        <w:tc>
          <w:tcPr>
            <w:gridSpan w:val="2"/>
          </w:tcPr>
          <w:p>
            <w:pPr>
              <w:pStyle w:val="Compact"/>
              <w:jc w:val="left"/>
            </w:pPr>
            <w:r>
              <w:t xml:space="preserve">TOTAL PRODUCT CARBON FOOTPRINT</w:t>
            </w:r>
          </w:p>
        </w:tc>
        <w:tc>
          <w:tcPr/>
          <w:p>
            <w:pPr>
              <w:pStyle w:val="Compact"/>
              <w:jc w:val="left"/>
            </w:pPr>
            <w:r>
              <w:t xml:space="preserve">14.046</w:t>
            </w:r>
          </w:p>
        </w:tc>
      </w:tr>
    </w:tbl>
    <w:bookmarkStart w:id="61" w:name="hotspot-analysis"/>
    <w:p>
      <w:pPr>
        <w:pStyle w:val="Heading2"/>
      </w:pPr>
      <w:r>
        <w:t xml:space="preserve">4.1. Hotspot Analysis</w:t>
      </w:r>
    </w:p>
    <w:p>
      <w:pPr>
        <w:pStyle w:val="FirstParagraph"/>
      </w:pPr>
      <w:r>
        <w:t xml:space="preserve">The major emission hotspots for</w:t>
      </w:r>
      <w:r>
        <w:t xml:space="preserve"> </w:t>
      </w:r>
      <w:r>
        <w:rPr>
          <w:bCs/>
          <w:b/>
        </w:rPr>
        <w:t xml:space="preserve">vzioyzzwxl</w:t>
      </w:r>
      <w:r>
        <w:t xml:space="preserve"> </w:t>
      </w:r>
      <w:r>
        <w:t xml:space="preserve">are identified as:</w:t>
      </w:r>
    </w:p>
    <w:p>
      <w:pPr>
        <w:numPr>
          <w:ilvl w:val="0"/>
          <w:numId w:val="1009"/>
        </w:numPr>
        <w:pStyle w:val="Compact"/>
      </w:pPr>
      <w:r>
        <w:rPr>
          <w:bCs/>
          <w:b/>
        </w:rPr>
        <w:t xml:space="preserve">Raw Material Acquisition &amp; Pre-processing (9.305 kg CO2e):</w:t>
      </w:r>
      <w:r>
        <w:t xml:space="preserve"> </w:t>
      </w:r>
      <w:r>
        <w:t xml:space="preserve">This stage represents the most significant contributor, primarily driven by the production of high-impact materials such as primary aluminium and electronics. This highlights the importance of material selection, design for circularity, and sourcing of lower-carbon materials.</w:t>
      </w:r>
    </w:p>
    <w:p>
      <w:pPr>
        <w:numPr>
          <w:ilvl w:val="0"/>
          <w:numId w:val="1009"/>
        </w:numPr>
        <w:pStyle w:val="Compact"/>
      </w:pPr>
      <w:r>
        <w:rPr>
          <w:bCs/>
          <w:b/>
        </w:rPr>
        <w:t xml:space="preserve">Use Phase (3.57 kg CO2e):</w:t>
      </w:r>
      <w:r>
        <w:t xml:space="preserve"> </w:t>
      </w:r>
      <w:r>
        <w:t xml:space="preserve">Energy consumption during the product\'s operational life is the second largest contributor, emphasizing the need for energy-efficient design and promotion of renewable energy use by end-users.</w:t>
      </w:r>
    </w:p>
    <w:p>
      <w:pPr>
        <w:numPr>
          <w:ilvl w:val="0"/>
          <w:numId w:val="1009"/>
        </w:numPr>
        <w:pStyle w:val="Compact"/>
      </w:pPr>
      <w:r>
        <w:rPr>
          <w:bCs/>
          <w:b/>
        </w:rPr>
        <w:t xml:space="preserve">Manufacturing/Production (2.12 kg CO2e):</w:t>
      </w:r>
      <w:r>
        <w:t xml:space="preserve"> </w:t>
      </w:r>
      <w:r>
        <w:t xml:space="preserve">Purchased electricity at the production facility contributes notably. Increasing the share of renewable energy at the factory or procuring renewable energy credits can significantly reduce this impact, especially given China\'s grid emission factor, which is forecast to decline but remains substantial.</w:t>
      </w:r>
    </w:p>
    <w:bookmarkEnd w:id="61"/>
    <w:bookmarkStart w:id="62" w:name="reliability-and-limitations"/>
    <w:p>
      <w:pPr>
        <w:pStyle w:val="Heading2"/>
      </w:pPr>
      <w:r>
        <w:t xml:space="preserve">4.2. Reliability and Limitations</w:t>
      </w:r>
    </w:p>
    <w:p>
      <w:pPr>
        <w:pStyle w:val="FirstParagraph"/>
      </w:pPr>
      <w:r>
        <w:t xml:space="preserve">The reliability of this report is high for the specified system boundaries and available data. However, it is important to note:</w:t>
      </w:r>
    </w:p>
    <w:p>
      <w:pPr>
        <w:numPr>
          <w:ilvl w:val="0"/>
          <w:numId w:val="1010"/>
        </w:numPr>
        <w:pStyle w:val="Compact"/>
      </w:pPr>
      <w:r>
        <w:t xml:space="preserve">Illustrative values were used for certain parameters (BOM content, transport modes/distances, energy usage, lifespan, recyclability) where placeholders were provided instead of specific numerical data. In a full analysis, primary data for these inputs would enhance accuracy.</w:t>
      </w:r>
    </w:p>
    <w:p>
      <w:pPr>
        <w:numPr>
          <w:ilvl w:val="0"/>
          <w:numId w:val="1010"/>
        </w:numPr>
        <w:pStyle w:val="Compact"/>
      </w:pPr>
      <w:r>
        <w:t xml:space="preserve">Emission factors are based on representative industry-standard databases (Ecoinvent/DEFRA proxies) and general regional averages for the current year (2026). More specific, supplier-specific emission factors would improve precision.</w:t>
      </w:r>
    </w:p>
    <w:p>
      <w:pPr>
        <w:numPr>
          <w:ilvl w:val="0"/>
          <w:numId w:val="1010"/>
        </w:numPr>
        <w:pStyle w:val="Compact"/>
      </w:pPr>
      <w:r>
        <w:t xml:space="preserve">Scope 1 emissions at the factory are assumed negligible as per the factory-gate boundary focus for the product, unless specified direct combustion.</w:t>
      </w:r>
    </w:p>
    <w:p>
      <w:pPr>
        <w:numPr>
          <w:ilvl w:val="0"/>
          <w:numId w:val="1010"/>
        </w:numPr>
        <w:pStyle w:val="Compact"/>
      </w:pPr>
      <w:r>
        <w:t xml:space="preserve">The LSR Standard, while applied, is relatively new, having been launched in January 2026 and becoming effective in January 2027. Further guidance is expected in Q2 2026, which may offer more detailed implementation specifics.</w:t>
      </w:r>
    </w:p>
    <w:p>
      <w:r>
        <w:pict>
          <v:rect style="width:0;height:1.5pt" o:hralign="center" o:hrstd="t" o:hr="t"/>
        </w:pict>
      </w:r>
    </w:p>
    <w:bookmarkEnd w:id="62"/>
    <w:bookmarkEnd w:id="63"/>
    <w:bookmarkStart w:id="64" w:name="recommendations-for-emission-reduction"/>
    <w:p>
      <w:pPr>
        <w:pStyle w:val="Heading1"/>
      </w:pPr>
      <w:r>
        <w:t xml:space="preserve">5. Recommendations for Emission Reduction</w:t>
      </w:r>
    </w:p>
    <w:p>
      <w:pPr>
        <w:pStyle w:val="FirstParagraph"/>
      </w:pPr>
      <w:r>
        <w:t xml:space="preserve">Based on the PCF analysis, the following recommendations are provided to</w:t>
      </w:r>
      <w:r>
        <w:t xml:space="preserve"> </w:t>
      </w:r>
      <w:r>
        <w:rPr>
          <w:bCs/>
          <w:b/>
        </w:rPr>
        <w:t xml:space="preserve">gfyqeqegxm</w:t>
      </w:r>
      <w:r>
        <w:t xml:space="preserve"> </w:t>
      </w:r>
      <w:r>
        <w:t xml:space="preserve">for reducing the carbon footprint of</w:t>
      </w:r>
      <w:r>
        <w:t xml:space="preserve"> </w:t>
      </w:r>
      <w:r>
        <w:rPr>
          <w:bCs/>
          <w:b/>
        </w:rPr>
        <w:t xml:space="preserve">vzioyzzwxl</w:t>
      </w:r>
      <w:r>
        <w:t xml:space="preserve">:</w:t>
      </w:r>
    </w:p>
    <w:p>
      <w:pPr>
        <w:numPr>
          <w:ilvl w:val="0"/>
          <w:numId w:val="1011"/>
        </w:numPr>
        <w:pStyle w:val="Compact"/>
      </w:pPr>
      <w:r>
        <w:rPr>
          <w:bCs/>
          <w:b/>
        </w:rPr>
        <w:t xml:space="preserve">Material Optimization:</w:t>
      </w:r>
      <w:r>
        <w:t xml:space="preserve"> </w:t>
      </w:r>
      <w:r>
        <w:t xml:space="preserve">Prioritize the use of recycled content, low-carbon materials, and design for modularity to reduce the impact from raw material acquisition. Engage with suppliers to obtain product-specific EPDs (Environmental Product Declarations).</w:t>
      </w:r>
    </w:p>
    <w:p>
      <w:pPr>
        <w:numPr>
          <w:ilvl w:val="0"/>
          <w:numId w:val="1011"/>
        </w:numPr>
        <w:pStyle w:val="Compact"/>
      </w:pPr>
      <w:r>
        <w:rPr>
          <w:bCs/>
          <w:b/>
        </w:rPr>
        <w:t xml:space="preserve">Energy Efficiency in Use Phase:</w:t>
      </w:r>
      <w:r>
        <w:t xml:space="preserve"> </w:t>
      </w:r>
      <w:r>
        <w:t xml:space="preserve">Invest in R&amp;D to enhance the energy efficiency of</w:t>
      </w:r>
      <w:r>
        <w:t xml:space="preserve"> </w:t>
      </w:r>
      <w:r>
        <w:rPr>
          <w:bCs/>
          <w:b/>
        </w:rPr>
        <w:t xml:space="preserve">vzioyzzwxl</w:t>
      </w:r>
      <w:r>
        <w:t xml:space="preserve"> </w:t>
      </w:r>
      <w:r>
        <w:t xml:space="preserve">during its operational life. Encourage user behavior that minimizes energy consumption.</w:t>
      </w:r>
    </w:p>
    <w:p>
      <w:pPr>
        <w:numPr>
          <w:ilvl w:val="0"/>
          <w:numId w:val="1011"/>
        </w:numPr>
        <w:pStyle w:val="Compact"/>
      </w:pPr>
      <w:r>
        <w:rPr>
          <w:bCs/>
          <w:b/>
        </w:rPr>
        <w:t xml:space="preserve">Renewable Energy Procurement:</w:t>
      </w:r>
      <w:r>
        <w:t xml:space="preserve"> </w:t>
      </w:r>
      <w:r>
        <w:t xml:space="preserve">Increase the percentage of renewable energy used at the manufacturing facility in China. Explore options for virtual power purchase agreements (VPPAs) or on-site renewable energy generation to mitigate Scope 2 emissions.</w:t>
      </w:r>
    </w:p>
    <w:p>
      <w:pPr>
        <w:numPr>
          <w:ilvl w:val="0"/>
          <w:numId w:val="1011"/>
        </w:numPr>
        <w:pStyle w:val="Compact"/>
      </w:pPr>
      <w:r>
        <w:rPr>
          <w:bCs/>
          <w:b/>
        </w:rPr>
        <w:t xml:space="preserve">Logistics Optimization:</w:t>
      </w:r>
      <w:r>
        <w:t xml:space="preserve"> </w:t>
      </w:r>
      <w:r>
        <w:t xml:space="preserve">Optimize transport routes and modes for both upstream and downstream logistics. Consider shifting to lower-emission transport options where feasible (e.g., rail over road for longer distances for last-mile delivery, and efficient sea freight for international bulk transport).</w:t>
      </w:r>
    </w:p>
    <w:p>
      <w:pPr>
        <w:numPr>
          <w:ilvl w:val="0"/>
          <w:numId w:val="1011"/>
        </w:numPr>
        <w:pStyle w:val="Compact"/>
      </w:pPr>
      <w:r>
        <w:rPr>
          <w:bCs/>
          <w:b/>
        </w:rPr>
        <w:t xml:space="preserve">Strengthen Circular Economy Programs:</w:t>
      </w:r>
      <w:r>
        <w:t xml:space="preserve"> </w:t>
      </w:r>
      <w:r>
        <w:t xml:space="preserve">Continue to invest in and expand take-back and recycling programs. Explore opportunities for product refurbishment and remanufacturing to extend product lifespan and further reduce EoL impacts.</w:t>
      </w:r>
    </w:p>
    <w:p>
      <w:pPr>
        <w:numPr>
          <w:ilvl w:val="0"/>
          <w:numId w:val="1011"/>
        </w:numPr>
        <w:pStyle w:val="Compact"/>
      </w:pPr>
      <w:r>
        <w:rPr>
          <w:bCs/>
          <w:b/>
        </w:rPr>
        <w:t xml:space="preserve">Data Refinement:</w:t>
      </w:r>
      <w:r>
        <w:t xml:space="preserve"> </w:t>
      </w:r>
      <w:r>
        <w:t xml:space="preserve">Collect more granular, product-specific primary data for all lifecycle stages, especially for material emission factors and energy consumption, to improve the accuracy and auditability of future analyses, aligning with the GHG Protocol Scope 3 Revision\'s emphasis on primary data.</w:t>
      </w:r>
    </w:p>
    <w:p>
      <w:r>
        <w:pict>
          <v:rect style="width:0;height:1.5pt" o:hralign="center" o:hrstd="t" o:hr="t"/>
        </w:pict>
      </w:r>
    </w:p>
    <w:p>
      <w:pPr>
        <w:pStyle w:val="FirstParagraph"/>
      </w:pPr>
      <w:r>
        <w:t xml:space="preserve">Confidential - Internal Use Only | Page</w:t>
      </w:r>
      <w:r>
        <w:t xml:space="preserve"> </w:t>
      </w:r>
    </w:p>
    <w:bookmarkEnd w:id="6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vzioyzzwxl</dc:title>
  <dc:creator/>
  <dc:description>Detailed Product Carbon Footprint (PCF) analysis report for product vzioyzzwxl by gfyqeqegxm, conducted by Senior Sustainability Consultant tmkrmmygtr, adhering to GHG Protocol standards and 2026 LSR updates.</dc:description>
  <cp:keywords/>
  <dcterms:created xsi:type="dcterms:W3CDTF">2026-05-30T10:36:29Z</dcterms:created>
  <dcterms:modified xsi:type="dcterms:W3CDTF">2026-05-30T10:36:29Z</dcterms:modified>
</cp:coreProperties>
</file>

<file path=docProps/custom.xml><?xml version="1.0" encoding="utf-8"?>
<Properties xmlns="http://schemas.openxmlformats.org/officeDocument/2006/custom-properties" xmlns:vt="http://schemas.openxmlformats.org/officeDocument/2006/docPropsVTypes"/>
</file>