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vyxiumdfsq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vyxiumdfsq</w:t>
      </w:r>
    </w:p>
    <w:p>
      <w:pPr>
        <w:pStyle w:val="BodyText"/>
      </w:pPr>
      <w:r>
        <w:t xml:space="preserve">Protocol Data (Accounting Standard): GHG Protocol</w:t>
      </w:r>
    </w:p>
    <w:p>
      <w:pPr>
        <w:pStyle w:val="BodyText"/>
      </w:pPr>
      <w:r>
        <w:t xml:space="preserve">Name of the Company: lpxqewshlu</w:t>
      </w:r>
    </w:p>
    <w:p>
      <w:pPr>
        <w:pStyle w:val="BodyText"/>
      </w:pPr>
      <w:r>
        <w:t xml:space="preserve">Senior Sustainability Consultant: mfwqotwiug</w:t>
      </w:r>
    </w:p>
    <w:p>
      <w:pPr>
        <w:pStyle w:val="BodyText"/>
      </w:pPr>
      <w:r>
        <w:t xml:space="preserve">Disclaimer: This report is generated based on available data and industry standards. The calculations presented herein rely on the accuracy and completeness of the provided parameters and generic emission factors where primary data was unavailable. Specific numerical values for placeholders have been simulated for demonstrative purposes.</w:t>
      </w:r>
    </w:p>
    <w:p>
      <w:pPr>
        <w:pStyle w:val="BodyText"/>
      </w:pPr>
      <w:r>
        <w:t xml:space="preserve">Generated Date: May 22, 2026</w:t>
      </w:r>
    </w:p>
    <w:bookmarkEnd w:id="20"/>
    <w:bookmarkStart w:id="54" w:name="X18fb0a0e93b05619c5516206deb7c249bb486ee"/>
    <w:p>
      <w:pPr>
        <w:pStyle w:val="Heading1"/>
      </w:pPr>
      <w:r>
        <w:t xml:space="preserve">Product Carbon Footprint (PCF) Analysis Report for vyxiumdfsq</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mfwqotwiug</w:t>
      </w:r>
    </w:p>
    <w:p>
      <w:pPr>
        <w:pStyle w:val="BodyText"/>
      </w:pPr>
      <w:r>
        <w:rPr>
          <w:bCs/>
          <w:b/>
        </w:rPr>
        <w:t xml:space="preserve">Company:</w:t>
      </w:r>
      <w:r>
        <w:t xml:space="preserve"> </w:t>
      </w:r>
      <w:r>
        <w:t xml:space="preserve">lpxqewshlu</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"vyxiumdfsq," developed for lpxqewshlu by Senior Sustainability Consultant mfwqotwiug. The analysis strictly adheres to the Greenhouse Gas (GHG) Protocol, incorporating the latest 2026 updates, including the Land Sector and Removals (LSR) Standard and the 95% coverage requirement for Scope 3 emissions. The assessment covers the entire lifecycle from raw material acquisition to end-of-life, utilizing a detailed Bill of Materials (BOM) and specific operational parameters. The primary goal is to identify emission hotspots and provide a reliable baseline for decarbonization strategies.</w:t>
      </w:r>
    </w:p>
    <w:p>
      <w:r>
        <w:pict>
          <v:rect style="width:0;height:1.5pt" o:hralign="center" o:hrstd="t" o:hr="t"/>
        </w:pict>
      </w:r>
    </w:p>
    <w:bookmarkEnd w:id="21"/>
    <w:bookmarkStart w:id="26" w:name="define-scope"/>
    <w:p>
      <w:pPr>
        <w:pStyle w:val="Heading2"/>
      </w:pPr>
      <w:r>
        <w:t xml:space="preserve">1. Define Scope</w:t>
      </w:r>
    </w:p>
    <w:p>
      <w:pPr>
        <w:pStyle w:val="FirstParagraph"/>
      </w:pPr>
      <w:r>
        <w:t xml:space="preserve">The scope definition establishes the boundaries and assumptions for this Product Carbon Footprint analysis.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vyxiumdfsq</w:t>
      </w:r>
      <w:r>
        <w:t xml:space="preserve">.</w:t>
      </w:r>
    </w:p>
    <w:bookmarkEnd w:id="22"/>
    <w:bookmarkStart w:id="23"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means the assessment covers all emissions up to the point where the finished product leaves the manufacturing facility. However, to provide a comprehensive view as per the user\'s request, additional downstream Scope 3 categories (Use Phase and End-of-Life) have been included to reflect the full product lifecycle, even though the primary system boundary for reporting is factory_gate. The categories included are:</w:t>
      </w:r>
    </w:p>
    <w:p>
      <w:pPr>
        <w:numPr>
          <w:ilvl w:val="0"/>
          <w:numId w:val="1001"/>
        </w:numPr>
        <w:pStyle w:val="Compact"/>
      </w:pPr>
      <w:r>
        <w:t xml:space="preserve">Material Acquisition &amp; Pre-processing</w:t>
      </w:r>
    </w:p>
    <w:p>
      <w:pPr>
        <w:numPr>
          <w:ilvl w:val="0"/>
          <w:numId w:val="1001"/>
        </w:numPr>
        <w:pStyle w:val="Compact"/>
      </w:pPr>
      <w:r>
        <w:t xml:space="preserve">Manufacturing (Production)</w:t>
      </w:r>
    </w:p>
    <w:p>
      <w:pPr>
        <w:numPr>
          <w:ilvl w:val="0"/>
          <w:numId w:val="1001"/>
        </w:numPr>
        <w:pStyle w:val="Compact"/>
      </w:pPr>
      <w:r>
        <w:t xml:space="preserve">Upstream Transportation and Distribution (Raw materials to factory)</w:t>
      </w:r>
    </w:p>
    <w:p>
      <w:pPr>
        <w:numPr>
          <w:ilvl w:val="0"/>
          <w:numId w:val="1001"/>
        </w:numPr>
        <w:pStyle w:val="Compact"/>
      </w:pPr>
      <w:r>
        <w:t xml:space="preserve">Downstream Transportation and Distribution (Factory to distribution, Last-mile delivery)</w:t>
      </w:r>
    </w:p>
    <w:p>
      <w:pPr>
        <w:numPr>
          <w:ilvl w:val="0"/>
          <w:numId w:val="1001"/>
        </w:numPr>
        <w:pStyle w:val="Compact"/>
      </w:pPr>
      <w:r>
        <w:t xml:space="preserve">Use of Sold Products</w:t>
      </w:r>
    </w:p>
    <w:p>
      <w:pPr>
        <w:numPr>
          <w:ilvl w:val="0"/>
          <w:numId w:val="1001"/>
        </w:numPr>
        <w:pStyle w:val="Compact"/>
      </w:pPr>
      <w:r>
        <w:t xml:space="preserve">End-of-Life Treatment of Sold Products</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w:t>
      </w:r>
    </w:p>
    <w:bookmarkEnd w:id="24"/>
    <w:bookmarkStart w:id="25" w:name="allocation"/>
    <w:p>
      <w:pPr>
        <w:pStyle w:val="Heading3"/>
      </w:pPr>
      <w:r>
        <w:t xml:space="preserve">1.4. Allocation</w:t>
      </w:r>
    </w:p>
    <w:p>
      <w:pPr>
        <w:pStyle w:val="FirstParagraph"/>
      </w:pPr>
      <w:r>
        <w:t xml:space="preserve">Allocation of emissions for co-products or multi-functional processes is based on mass where applicable. For end-of-life scenarios, avoided burden methodology is applied to account for the benefits of circular economy initiatives such as recycling, reflecting the displacement of virgin material production.</w:t>
      </w:r>
    </w:p>
    <w:p>
      <w:r>
        <w:pict>
          <v:rect style="width:0;height:1.5pt" o:hralign="center" o:hrstd="t" o:hr="t"/>
        </w:pict>
      </w:r>
    </w:p>
    <w:bookmarkEnd w:id="25"/>
    <w:bookmarkEnd w:id="26"/>
    <w:bookmarkStart w:id="32" w:name="map-lifecycle-lci-inventory-stages"/>
    <w:p>
      <w:pPr>
        <w:pStyle w:val="Heading2"/>
      </w:pPr>
      <w:r>
        <w:t xml:space="preserve">2. Map Lifecycle (LCI Inventory Stages)</w:t>
      </w:r>
    </w:p>
    <w:p>
      <w:pPr>
        <w:pStyle w:val="FirstParagraph"/>
      </w:pPr>
      <w:r>
        <w:t xml:space="preserve">The lifecycle of vyxiumdfsq is mapped across five key stages, detailing the inventory items contributing to the carbon footprint.</w:t>
      </w:r>
    </w:p>
    <w:bookmarkStart w:id="27" w:name="X45bb9cd134053e35af1dfcce7e2d044d3d17865"/>
    <w:p>
      <w:pPr>
        <w:pStyle w:val="Heading3"/>
      </w:pPr>
      <w:r>
        <w:t xml:space="preserve">2.1. Material Acquisition &amp; Pre-processing (Scope 3, Category 1 - Purchased Goods and Services)</w:t>
      </w:r>
    </w:p>
    <w:p>
      <w:pPr>
        <w:pStyle w:val="FirstParagraph"/>
      </w:pPr>
      <w:r>
        <w:t xml:space="preserve">This stage accounts for the emissions associated with the extraction, processing, and manufacturing of all raw materials and components listed in the Detailed Bill of Materials (BOM).</w:t>
      </w:r>
    </w:p>
    <w:bookmarkEnd w:id="27"/>
    <w:bookmarkStart w:id="28" w:name="manufacturing-scope-1-2"/>
    <w:p>
      <w:pPr>
        <w:pStyle w:val="Heading3"/>
      </w:pPr>
      <w:r>
        <w:t xml:space="preserve">2.2. Manufacturing (Scope 1 &amp; 2)</w:t>
      </w:r>
    </w:p>
    <w:p>
      <w:pPr>
        <w:pStyle w:val="FirstParagraph"/>
      </w:pPr>
      <w:r>
        <w:t xml:space="preserve">This stage covers direct emissions from the production facility (Scope 1) and indirect emissions from purchased electricity (Scope 2) required for the assembly and fabrication of vyxiumdfsq in China. Energy intensity and renewable energy usage are critical inputs here.</w:t>
      </w:r>
    </w:p>
    <w:bookmarkEnd w:id="28"/>
    <w:bookmarkStart w:id="29" w:name="Xc4ba8a5b4ad1c58b4138d1f54b33350aba74aae"/>
    <w:p>
      <w:pPr>
        <w:pStyle w:val="Heading3"/>
      </w:pPr>
      <w:r>
        <w:t xml:space="preserve">2.3. Transportation and Distribution (Scope 3, Category 4 - Upstream &amp; Category 9 - Downstream)</w:t>
      </w:r>
    </w:p>
    <w:p>
      <w:pPr>
        <w:pStyle w:val="FirstParagraph"/>
      </w:pPr>
      <w:r>
        <w:t xml:space="preserve">This includes all transport activities:</w:t>
      </w:r>
    </w:p>
    <w:p>
      <w:pPr>
        <w:numPr>
          <w:ilvl w:val="0"/>
          <w:numId w:val="1003"/>
        </w:numPr>
        <w:pStyle w:val="Compact"/>
      </w:pPr>
      <w:r>
        <w:rPr>
          <w:bCs/>
          <w:b/>
        </w:rPr>
        <w:t xml:space="preserve">Upstream:</w:t>
      </w:r>
      <w:r>
        <w:t xml:space="preserve"> </w:t>
      </w:r>
      <w:r>
        <w:t xml:space="preserve">Transportation of raw materials and components from European suppliers to the manufacturing facility in China.</w:t>
      </w:r>
    </w:p>
    <w:p>
      <w:pPr>
        <w:numPr>
          <w:ilvl w:val="0"/>
          <w:numId w:val="1003"/>
        </w:numPr>
        <w:pStyle w:val="Compact"/>
      </w:pPr>
      <w:r>
        <w:rPr>
          <w:bCs/>
          <w:b/>
        </w:rPr>
        <w:t xml:space="preserve">Downstream:</w:t>
      </w:r>
      <w:r>
        <w:t xml:space="preserve"> </w:t>
      </w:r>
      <w:r>
        <w:t xml:space="preserve">Transportation of the finished product from the factory in China to the European distribution network and subsequent last-mile delivery to the end-user.</w:t>
      </w:r>
    </w:p>
    <w:bookmarkEnd w:id="29"/>
    <w:bookmarkStart w:id="30" w:name="Xe72837a908ad344b018b3447ff671a3dec19470"/>
    <w:p>
      <w:pPr>
        <w:pStyle w:val="Heading3"/>
      </w:pPr>
      <w:r>
        <w:t xml:space="preserve">2.4. Use Phase (Scope 3, Category 11 - Use of Sold Products)</w:t>
      </w:r>
    </w:p>
    <w:p>
      <w:pPr>
        <w:pStyle w:val="FirstParagraph"/>
      </w:pPr>
      <w:r>
        <w:t xml:space="preserve">Emissions from the energy consumption during the expected lifespan of the product by the end-user are calculated in this stage.</w:t>
      </w:r>
    </w:p>
    <w:bookmarkEnd w:id="30"/>
    <w:bookmarkStart w:id="31" w:name="Xe0da3ae5c42600f436bdf9037896cf99fcaf8b4"/>
    <w:p>
      <w:pPr>
        <w:pStyle w:val="Heading3"/>
      </w:pPr>
      <w:r>
        <w:t xml:space="preserve">2.5. End-of-Life (EoL) Treatment (Scope 3, Category 12 - End-of-Life Treatment of Sold Products)</w:t>
      </w:r>
    </w:p>
    <w:p>
      <w:pPr>
        <w:pStyle w:val="FirstParagraph"/>
      </w:pPr>
      <w:r>
        <w:t xml:space="preserve">This stage assesses emissions and potential avoided emissions (credits) associated with the disposal or recycling of the product at the end of its useful life, considering recyclability and circular economy programs.</w:t>
      </w:r>
    </w:p>
    <w:p>
      <w:r>
        <w:pict>
          <v:rect style="width:0;height:1.5pt" o:hralign="center" o:hrstd="t" o:hr="t"/>
        </w:pict>
      </w:r>
    </w:p>
    <w:bookmarkEnd w:id="31"/>
    <w:bookmarkEnd w:id="32"/>
    <w:bookmarkStart w:id="38" w:name="Xb57f50a89bf1f3f1837369be949d9d60d6c1272"/>
    <w:p>
      <w:pPr>
        <w:pStyle w:val="Heading2"/>
      </w:pPr>
      <w:r>
        <w:t xml:space="preserve">3. Collect Data (Primary/Secondary Data Points)</w:t>
      </w:r>
    </w:p>
    <w:p>
      <w:pPr>
        <w:pStyle w:val="FirstParagraph"/>
      </w:pPr>
      <w:r>
        <w:t xml:space="preserve">The following data points, both primary (provided) and secondary (industry averages/standards), were collected and used for the analysis. Specific numerical values for placeholders have been simulated for demonstrative purposes in this report.</w:t>
      </w:r>
    </w:p>
    <w:bookmarkStart w:id="33" w:name="detailed-bill-of-materials-bom-rnsxtent"/>
    <w:p>
      <w:pPr>
        <w:pStyle w:val="Heading3"/>
      </w:pPr>
      <w:r>
        <w:t xml:space="preserve">3.1. Detailed Bill of Materials (BOM): rnsxtent</w:t>
      </w:r>
    </w:p>
    <w:p>
      <w:pPr>
        <w:pStyle w:val="FirstParagraph"/>
      </w:pPr>
      <w:r>
        <w:t xml:space="preserve">The BOM provides specific material quantities, processes, and pre-calculated carbon emissions for high-accuracy material impact. These values are directly used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33"/>
    <w:bookmarkStart w:id="34" w:name="energy-inputs-production-phase"/>
    <w:p>
      <w:pPr>
        <w:pStyle w:val="Heading3"/>
      </w:pPr>
      <w:r>
        <w:t xml:space="preserve">3.2. Energy Inputs (Production Phase)</w:t>
      </w:r>
    </w:p>
    <w:p>
      <w:pPr>
        <w:numPr>
          <w:ilvl w:val="0"/>
          <w:numId w:val="1004"/>
        </w:numPr>
        <w:pStyle w:val="Compact"/>
      </w:pPr>
      <w:r>
        <w:rPr>
          <w:bCs/>
          <w:b/>
        </w:rPr>
        <w:t xml:space="preserve">Renewable Energy Usage (hdttghyoqu):</w:t>
      </w:r>
      <w:r>
        <w:t xml:space="preserve"> </w:t>
      </w:r>
      <w:r>
        <w:t xml:space="preserve">70% (e.g., from on-site renewables or renewable energy credits)</w:t>
      </w:r>
    </w:p>
    <w:p>
      <w:pPr>
        <w:numPr>
          <w:ilvl w:val="0"/>
          <w:numId w:val="1004"/>
        </w:numPr>
        <w:pStyle w:val="Compact"/>
      </w:pPr>
      <w:r>
        <w:rPr>
          <w:bCs/>
          <w:b/>
        </w:rPr>
        <w:t xml:space="preserve">Energy Intensity (kWh/unit) (rtgkvprolw):</w:t>
      </w:r>
      <w:r>
        <w:t xml:space="preserve"> </w:t>
      </w:r>
      <w:r>
        <w:t xml:space="preserve">50 kWh/unit</w:t>
      </w:r>
    </w:p>
    <w:p>
      <w:pPr>
        <w:numPr>
          <w:ilvl w:val="0"/>
          <w:numId w:val="1004"/>
        </w:numPr>
        <w:pStyle w:val="Compact"/>
      </w:pPr>
      <w:r>
        <w:rPr>
          <w:bCs/>
          <w:b/>
        </w:rPr>
        <w:t xml:space="preserve">Grid Emission Factor (China):</w:t>
      </w:r>
      <w:r>
        <w:t xml:space="preserve"> </w:t>
      </w:r>
      <w:r>
        <w:t xml:space="preserve">0.6205 kg CO2e/kWh (2023 National Average Electricity Carbon Footprint Factor for China)</w:t>
      </w:r>
    </w:p>
    <w:bookmarkEnd w:id="34"/>
    <w:bookmarkStart w:id="35" w:name="logistics-data"/>
    <w:p>
      <w:pPr>
        <w:pStyle w:val="Heading3"/>
      </w:pPr>
      <w:r>
        <w:t xml:space="preserve">3.3. Logistics Data</w:t>
      </w:r>
    </w:p>
    <w:p>
      <w:pPr>
        <w:numPr>
          <w:ilvl w:val="0"/>
          <w:numId w:val="1005"/>
        </w:numPr>
        <w:pStyle w:val="Compact"/>
      </w:pPr>
      <w:r>
        <w:rPr>
          <w:bCs/>
          <w:b/>
        </w:rPr>
        <w:t xml:space="preserve">Transport Mode (Select Mode):</w:t>
      </w:r>
      <w:r>
        <w:t xml:space="preserve"> </w:t>
      </w:r>
      <w:r>
        <w:t xml:space="preserve">Ocean Freight (Container Ship) for intercontinental, Road Transport (Heavy Goods Vehicle) for regional, and Parcel Delivery Van for last-mile.</w:t>
      </w:r>
    </w:p>
    <w:p>
      <w:pPr>
        <w:numPr>
          <w:ilvl w:val="0"/>
          <w:numId w:val="1005"/>
        </w:numPr>
        <w:pStyle w:val="Compact"/>
      </w:pPr>
      <w:r>
        <w:rPr>
          <w:bCs/>
          <w:b/>
        </w:rPr>
        <w:t xml:space="preserve">Transport Distance (xqqffdehpj):</w:t>
      </w:r>
    </w:p>
    <w:p>
      <w:pPr>
        <w:numPr>
          <w:ilvl w:val="1"/>
          <w:numId w:val="1006"/>
        </w:numPr>
        <w:pStyle w:val="Compact"/>
      </w:pPr>
      <w:r>
        <w:t xml:space="preserve">Upstream (Raw materials, Europe to China factory): Ocean 15,000 km, Road (within China) 500 km.</w:t>
      </w:r>
    </w:p>
    <w:p>
      <w:pPr>
        <w:numPr>
          <w:ilvl w:val="1"/>
          <w:numId w:val="1006"/>
        </w:numPr>
        <w:pStyle w:val="Compact"/>
      </w:pPr>
      <w:r>
        <w:t xml:space="preserve">Downstream (Finished product, China factory to European distribution center): Ocean 15,000 km, Road (within Europe) 500 km.</w:t>
      </w:r>
    </w:p>
    <w:p>
      <w:pPr>
        <w:numPr>
          <w:ilvl w:val="1"/>
          <w:numId w:val="1006"/>
        </w:numPr>
        <w:pStyle w:val="Compact"/>
      </w:pPr>
      <w:r>
        <w:t xml:space="preserve">Last-Mile Delivery (Delivery Type): 50 km.</w:t>
      </w:r>
    </w:p>
    <w:p>
      <w:pPr>
        <w:numPr>
          <w:ilvl w:val="0"/>
          <w:numId w:val="1005"/>
        </w:numPr>
        <w:pStyle w:val="Compact"/>
      </w:pPr>
      <w:r>
        <w:rPr>
          <w:bCs/>
          <w:b/>
        </w:rPr>
        <w:t xml:space="preserve">Assumed Average Product Weight for Transport:</w:t>
      </w:r>
      <w:r>
        <w:t xml:space="preserve"> </w:t>
      </w:r>
      <w:r>
        <w:t xml:space="preserve">1.5 kg</w:t>
      </w:r>
    </w:p>
    <w:p>
      <w:pPr>
        <w:numPr>
          <w:ilvl w:val="0"/>
          <w:numId w:val="1005"/>
        </w:numPr>
        <w:pStyle w:val="Compact"/>
      </w:pPr>
      <w:r>
        <w:rPr>
          <w:bCs/>
          <w:b/>
        </w:rPr>
        <w:t xml:space="preserve">Emission Factors for Transport (industry standards):</w:t>
      </w:r>
    </w:p>
    <w:p>
      <w:pPr>
        <w:numPr>
          <w:ilvl w:val="1"/>
          <w:numId w:val="1007"/>
        </w:numPr>
        <w:pStyle w:val="Compact"/>
      </w:pPr>
      <w:r>
        <w:t xml:space="preserve">Ocean Freight: 0.015 kg CO2e/tonne-km</w:t>
      </w:r>
    </w:p>
    <w:p>
      <w:pPr>
        <w:numPr>
          <w:ilvl w:val="1"/>
          <w:numId w:val="1007"/>
        </w:numPr>
        <w:pStyle w:val="Compact"/>
      </w:pPr>
      <w:r>
        <w:t xml:space="preserve">Road Freight (HGV): 0.070 kg CO2e/tonne-km</w:t>
      </w:r>
    </w:p>
    <w:p>
      <w:pPr>
        <w:numPr>
          <w:ilvl w:val="1"/>
          <w:numId w:val="1007"/>
        </w:numPr>
        <w:pStyle w:val="Compact"/>
      </w:pPr>
      <w:r>
        <w:t xml:space="preserve">Parcel Delivery Van: 0.25 kg CO2e/km</w:t>
      </w:r>
    </w:p>
    <w:bookmarkEnd w:id="35"/>
    <w:bookmarkStart w:id="36" w:name="use-phase-data"/>
    <w:p>
      <w:pPr>
        <w:pStyle w:val="Heading3"/>
      </w:pPr>
      <w:r>
        <w:t xml:space="preserve">3.4. Use Phase Data</w:t>
      </w:r>
    </w:p>
    <w:p>
      <w:pPr>
        <w:numPr>
          <w:ilvl w:val="0"/>
          <w:numId w:val="1008"/>
        </w:numPr>
        <w:pStyle w:val="Compact"/>
      </w:pPr>
      <w:r>
        <w:rPr>
          <w:bCs/>
          <w:b/>
        </w:rPr>
        <w:t xml:space="preserve">Product Lifespan (rgdifenlro):</w:t>
      </w:r>
      <w:r>
        <w:t xml:space="preserve"> </w:t>
      </w:r>
      <w:r>
        <w:t xml:space="preserve">5 years</w:t>
      </w:r>
    </w:p>
    <w:p>
      <w:pPr>
        <w:numPr>
          <w:ilvl w:val="0"/>
          <w:numId w:val="1008"/>
        </w:numPr>
        <w:pStyle w:val="Compact"/>
      </w:pPr>
      <w:r>
        <w:rPr>
          <w:bCs/>
          <w:b/>
        </w:rPr>
        <w:t xml:space="preserve">Energy Consumption in Use (ywtzylyyji):</w:t>
      </w:r>
      <w:r>
        <w:t xml:space="preserve"> </w:t>
      </w:r>
      <w:r>
        <w:t xml:space="preserve">10 kWh/year</w:t>
      </w:r>
    </w:p>
    <w:p>
      <w:pPr>
        <w:numPr>
          <w:ilvl w:val="0"/>
          <w:numId w:val="1008"/>
        </w:numPr>
        <w:pStyle w:val="Compact"/>
      </w:pPr>
      <w:r>
        <w:rPr>
          <w:bCs/>
          <w:b/>
        </w:rPr>
        <w:t xml:space="preserve">Generic End-User Grid Emission Factor:</w:t>
      </w:r>
      <w:r>
        <w:t xml:space="preserve"> </w:t>
      </w:r>
      <w:r>
        <w:t xml:space="preserve">0.475 kg CO2e/kWh (representing a global average for use phase where specific regional data is not provided)</w:t>
      </w:r>
    </w:p>
    <w:bookmarkEnd w:id="36"/>
    <w:bookmarkStart w:id="37" w:name="end-of-life-eol-scenarios"/>
    <w:p>
      <w:pPr>
        <w:pStyle w:val="Heading3"/>
      </w:pPr>
      <w:r>
        <w:t xml:space="preserve">3.5. End-of-Life (EoL) Scenarios</w:t>
      </w:r>
    </w:p>
    <w:p>
      <w:pPr>
        <w:numPr>
          <w:ilvl w:val="0"/>
          <w:numId w:val="1009"/>
        </w:numPr>
        <w:pStyle w:val="Compact"/>
      </w:pPr>
      <w:r>
        <w:rPr>
          <w:bCs/>
          <w:b/>
        </w:rPr>
        <w:t xml:space="preserve">Recyclability Percentage (xxgnqdhrpn):</w:t>
      </w:r>
      <w:r>
        <w:t xml:space="preserve"> </w:t>
      </w:r>
      <w:r>
        <w:t xml:space="preserve">80%</w:t>
      </w:r>
    </w:p>
    <w:p>
      <w:pPr>
        <w:numPr>
          <w:ilvl w:val="0"/>
          <w:numId w:val="1009"/>
        </w:numPr>
        <w:pStyle w:val="Compact"/>
      </w:pPr>
      <w:r>
        <w:rPr>
          <w:bCs/>
          <w:b/>
        </w:rPr>
        <w:t xml:space="preserve">Circular/Take-back Programs (ojpnmqprie):</w:t>
      </w:r>
      <w:r>
        <w:t xml:space="preserve"> </w:t>
      </w:r>
      <w:r>
        <w:t xml:space="preserve">Yes, established take-back program via retail partners leading to closed-loop recycling for applicable materials (e.g., plastics and metals).</w:t>
      </w:r>
    </w:p>
    <w:p>
      <w:pPr>
        <w:numPr>
          <w:ilvl w:val="0"/>
          <w:numId w:val="1009"/>
        </w:numPr>
        <w:pStyle w:val="Compact"/>
      </w:pPr>
      <w:r>
        <w:rPr>
          <w:bCs/>
          <w:b/>
        </w:rPr>
        <w:t xml:space="preserve">Emission Factors (industry standards):</w:t>
      </w:r>
    </w:p>
    <w:p>
      <w:pPr>
        <w:numPr>
          <w:ilvl w:val="1"/>
          <w:numId w:val="1010"/>
        </w:numPr>
        <w:pStyle w:val="Compact"/>
      </w:pPr>
      <w:r>
        <w:t xml:space="preserve">Avoided Emissions from Recycling: Assumed a credit based on virgin material displacement (calculation below).</w:t>
      </w:r>
    </w:p>
    <w:p>
      <w:pPr>
        <w:numPr>
          <w:ilvl w:val="1"/>
          <w:numId w:val="1010"/>
        </w:numPr>
        <w:pStyle w:val="Compact"/>
      </w:pPr>
      <w:r>
        <w:t xml:space="preserve">Landfill (Plastics): 0.033 kg CO2e/kg</w:t>
      </w:r>
    </w:p>
    <w:p>
      <w:r>
        <w:pict>
          <v:rect style="width:0;height:1.5pt" o:hralign="center" o:hrstd="t" o:hr="t"/>
        </w:pict>
      </w:r>
    </w:p>
    <w:bookmarkEnd w:id="37"/>
    <w:bookmarkEnd w:id="38"/>
    <w:bookmarkStart w:id="50"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scopes. All numerical calculations for placeholder values are demonstrated below.</w:t>
      </w:r>
    </w:p>
    <w:bookmarkStart w:id="39" w:name="X9f8155b0fb8eb7f23296da7c9a5f21dc0a0d98e"/>
    <w:p>
      <w:pPr>
        <w:pStyle w:val="Heading3"/>
      </w:pPr>
      <w:r>
        <w:t xml:space="preserve">4.1. Total Product Weight for Material-related Calculations</w:t>
      </w:r>
    </w:p>
    <w:p>
      <w:pPr>
        <w:pStyle w:val="FirstParagraph"/>
      </w:pPr>
      <w:r>
        <w:t xml:space="preserve">Sum of Qty from BOM for items measured in kg, plus assumed weights for \'unit\' items:</w:t>
      </w:r>
    </w:p>
    <w:p>
      <w:pPr>
        <w:numPr>
          <w:ilvl w:val="0"/>
          <w:numId w:val="1011"/>
        </w:numPr>
        <w:pStyle w:val="Compact"/>
      </w:pPr>
      <w:r>
        <w:t xml:space="preserve">Aluminum Casing: 0.5 kg</w:t>
      </w:r>
    </w:p>
    <w:p>
      <w:pPr>
        <w:numPr>
          <w:ilvl w:val="0"/>
          <w:numId w:val="1011"/>
        </w:numPr>
        <w:pStyle w:val="Compact"/>
      </w:pPr>
      <w:r>
        <w:t xml:space="preserve">Plastic Enclosure (ABS): 0.3 kg</w:t>
      </w:r>
    </w:p>
    <w:p>
      <w:pPr>
        <w:numPr>
          <w:ilvl w:val="0"/>
          <w:numId w:val="1011"/>
        </w:numPr>
        <w:pStyle w:val="Compact"/>
      </w:pPr>
      <w:r>
        <w:t xml:space="preserve">Circuit Board (PCB): Assuming 0.1 kg/unit * 0.1 unit = 0.01 kg (for weight-based EoL, though direct carbon is given)</w:t>
      </w:r>
    </w:p>
    <w:p>
      <w:pPr>
        <w:numPr>
          <w:ilvl w:val="0"/>
          <w:numId w:val="1011"/>
        </w:numPr>
        <w:pStyle w:val="Compact"/>
      </w:pPr>
      <w:r>
        <w:t xml:space="preserve">Copper Wiring: 0.05 kg</w:t>
      </w:r>
    </w:p>
    <w:p>
      <w:pPr>
        <w:numPr>
          <w:ilvl w:val="0"/>
          <w:numId w:val="1011"/>
        </w:numPr>
        <w:pStyle w:val="Compact"/>
      </w:pPr>
      <w:r>
        <w:t xml:space="preserve">Lithium-Ion Battery: Assuming 0.1 kg/unit * 0.08 unit = 0.008 kg (for weight-based EoL, though direct carbon is given)</w:t>
      </w:r>
    </w:p>
    <w:p>
      <w:pPr>
        <w:numPr>
          <w:ilvl w:val="0"/>
          <w:numId w:val="1011"/>
        </w:numPr>
        <w:pStyle w:val="Compact"/>
      </w:pPr>
      <w:r>
        <w:t xml:space="preserve">Packaging (Cardboard): 0.2 kg</w:t>
      </w:r>
    </w:p>
    <w:p>
      <w:pPr>
        <w:pStyle w:val="FirstParagraph"/>
      </w:pPr>
      <w:r>
        <w:t xml:space="preserve">Total raw material weight for transport calculations (simplified average for this exercise): 1.5 kg.</w:t>
      </w:r>
    </w:p>
    <w:bookmarkEnd w:id="39"/>
    <w:bookmarkStart w:id="40" w:name="Xf8693123cc9fd52fca862aa98c9136b65c671bc"/>
    <w:p>
      <w:pPr>
        <w:pStyle w:val="Heading3"/>
      </w:pPr>
      <w:r>
        <w:t xml:space="preserve">4.2. Scope 3: Category 1 - Purchased Goods and Services (Materials)</w:t>
      </w:r>
    </w:p>
    <w:p>
      <w:pPr>
        <w:pStyle w:val="FirstParagraph"/>
      </w:pPr>
      <w:r>
        <w:t xml:space="preserve">As per the BOM, the Total Carbon (kg CO2e) values are directly used.</w:t>
      </w:r>
    </w:p>
    <w:p>
      <w:pPr>
        <w:numPr>
          <w:ilvl w:val="0"/>
          <w:numId w:val="1012"/>
        </w:numPr>
        <w:pStyle w:val="Compact"/>
      </w:pPr>
      <w:r>
        <w:t xml:space="preserve">Aluminum Casing: 3.75 kg CO2e</w:t>
      </w:r>
    </w:p>
    <w:p>
      <w:pPr>
        <w:numPr>
          <w:ilvl w:val="0"/>
          <w:numId w:val="1012"/>
        </w:numPr>
        <w:pStyle w:val="Compact"/>
      </w:pPr>
      <w:r>
        <w:t xml:space="preserve">Plastic Enclosure (ABS): 0.75 kg CO2e</w:t>
      </w:r>
    </w:p>
    <w:p>
      <w:pPr>
        <w:numPr>
          <w:ilvl w:val="0"/>
          <w:numId w:val="1012"/>
        </w:numPr>
        <w:pStyle w:val="Compact"/>
      </w:pPr>
      <w:r>
        <w:t xml:space="preserve">Circuit Board (PCB): 1.50 kg CO2e</w:t>
      </w:r>
    </w:p>
    <w:p>
      <w:pPr>
        <w:numPr>
          <w:ilvl w:val="0"/>
          <w:numId w:val="1012"/>
        </w:numPr>
        <w:pStyle w:val="Compact"/>
      </w:pPr>
      <w:r>
        <w:t xml:space="preserve">Copper Wiring: 0.15 kg CO2e</w:t>
      </w:r>
    </w:p>
    <w:p>
      <w:pPr>
        <w:numPr>
          <w:ilvl w:val="0"/>
          <w:numId w:val="1012"/>
        </w:numPr>
        <w:pStyle w:val="Compact"/>
      </w:pPr>
      <w:r>
        <w:t xml:space="preserve">Lithium-Ion Battery: 2.00 kg CO2e</w:t>
      </w:r>
    </w:p>
    <w:p>
      <w:pPr>
        <w:numPr>
          <w:ilvl w:val="0"/>
          <w:numId w:val="1012"/>
        </w:numPr>
        <w:pStyle w:val="Compact"/>
      </w:pPr>
      <w:r>
        <w:t xml:space="preserve">Packaging (Cardboard): 0.16 kg CO2e</w:t>
      </w:r>
    </w:p>
    <w:p>
      <w:pPr>
        <w:pStyle w:val="FirstParagraph"/>
      </w:pPr>
      <w:r>
        <w:rPr>
          <w:bCs/>
          <w:b/>
        </w:rPr>
        <w:t xml:space="preserve">Total Material Emissions: 3.75 + 0.75 + 1.50 + 0.15 + 2.00 + 0.16 = 8.31 kg CO2e</w:t>
      </w:r>
    </w:p>
    <w:bookmarkEnd w:id="40"/>
    <w:bookmarkStart w:id="41" w:name="X31a83b4b70a317e445d6fef5bd812f4093a77d6"/>
    <w:p>
      <w:pPr>
        <w:pStyle w:val="Heading3"/>
      </w:pPr>
      <w:r>
        <w:t xml:space="preserve">4.3. Scope 2: Purchased Electricity (Manufacturing)</w:t>
      </w:r>
    </w:p>
    <w:p>
      <w:pPr>
        <w:numPr>
          <w:ilvl w:val="0"/>
          <w:numId w:val="1013"/>
        </w:numPr>
        <w:pStyle w:val="Compact"/>
      </w:pPr>
      <w:r>
        <w:t xml:space="preserve">Total Energy Intensity: 50 kWh/unit</w:t>
      </w:r>
    </w:p>
    <w:p>
      <w:pPr>
        <w:numPr>
          <w:ilvl w:val="0"/>
          <w:numId w:val="1013"/>
        </w:numPr>
        <w:pStyle w:val="Compact"/>
      </w:pPr>
      <w:r>
        <w:t xml:space="preserve">Renewable Energy Usage: 70%</w:t>
      </w:r>
    </w:p>
    <w:p>
      <w:pPr>
        <w:numPr>
          <w:ilvl w:val="0"/>
          <w:numId w:val="1013"/>
        </w:numPr>
        <w:pStyle w:val="Compact"/>
      </w:pPr>
      <w:r>
        <w:t xml:space="preserve">Non-renewable energy: 50 kWh * (1 - 0.70) = 15 kWh</w:t>
      </w:r>
    </w:p>
    <w:p>
      <w:pPr>
        <w:numPr>
          <w:ilvl w:val="0"/>
          <w:numId w:val="1013"/>
        </w:numPr>
        <w:pStyle w:val="Compact"/>
      </w:pPr>
      <w:r>
        <w:t xml:space="preserve">Emissions from non-renewable energy: 15 kWh * 0.6205 kg CO2e/kWh (China grid factor) = 9.3075 kg CO2e.</w:t>
      </w:r>
    </w:p>
    <w:p>
      <w:pPr>
        <w:pStyle w:val="FirstParagraph"/>
      </w:pPr>
      <w:r>
        <w:rPr>
          <w:bCs/>
          <w:b/>
        </w:rPr>
        <w:t xml:space="preserve">Total Manufacturing Electricity Emissions: 9.31 kg CO2e</w:t>
      </w:r>
    </w:p>
    <w:bookmarkEnd w:id="41"/>
    <w:bookmarkStart w:id="42" w:name="scope-1-direct-emissions-manufacturing"/>
    <w:p>
      <w:pPr>
        <w:pStyle w:val="Heading3"/>
      </w:pPr>
      <w:r>
        <w:t xml:space="preserve">4.4. Scope 1: Direct Emissions (Manufacturing)</w:t>
      </w:r>
    </w:p>
    <w:p>
      <w:pPr>
        <w:pStyle w:val="FirstParagraph"/>
      </w:pPr>
      <w:r>
        <w:t xml:space="preserve">Assuming minor on-site process emissions not covered by electricity (e.g., from small-scale fuel combustion for ancillary equipment). As no specific data was provided, a conservative estimate is applied to ensure completeness as per GHG Protocol principles.</w:t>
      </w:r>
    </w:p>
    <w:p>
      <w:pPr>
        <w:pStyle w:val="BodyText"/>
      </w:pPr>
      <w:r>
        <w:rPr>
          <w:bCs/>
          <w:b/>
        </w:rPr>
        <w:t xml:space="preserve">Estimated Direct Manufacturing Emissions: 0.10 kg CO2e</w:t>
      </w:r>
    </w:p>
    <w:bookmarkEnd w:id="42"/>
    <w:bookmarkStart w:id="43" w:name="X8a334822263cb9732a1377dfd9f0ff129764180"/>
    <w:p>
      <w:pPr>
        <w:pStyle w:val="Heading3"/>
      </w:pPr>
      <w:r>
        <w:t xml:space="preserve">4.5. Scope 3: Category 4 - Upstream Transportation and Distribution</w:t>
      </w:r>
    </w:p>
    <w:p>
      <w:pPr>
        <w:numPr>
          <w:ilvl w:val="0"/>
          <w:numId w:val="1014"/>
        </w:numPr>
        <w:pStyle w:val="Compact"/>
      </w:pPr>
      <w:r>
        <w:rPr>
          <w:bCs/>
          <w:b/>
        </w:rPr>
        <w:t xml:space="preserve">Ocean Freight (Europe to China):</w:t>
      </w:r>
      <w:r>
        <w:t xml:space="preserve"> </w:t>
      </w:r>
      <w:r>
        <w:t xml:space="preserve">15,000 km * 1.5 kg (product weight) / 1000 kg/tonne = 22.5 tonne-km</w:t>
      </w:r>
    </w:p>
    <w:p>
      <w:pPr>
        <w:numPr>
          <w:ilvl w:val="0"/>
          <w:numId w:val="1014"/>
        </w:numPr>
        <w:pStyle w:val="Compact"/>
      </w:pPr>
      <w:r>
        <w:t xml:space="preserve">Emissions: 22.5 tonne-km * 0.015 kg CO2e/tonne-km = 0.3375 kg CO2e.</w:t>
      </w:r>
    </w:p>
    <w:p>
      <w:pPr>
        <w:numPr>
          <w:ilvl w:val="0"/>
          <w:numId w:val="1014"/>
        </w:numPr>
        <w:pStyle w:val="Compact"/>
      </w:pPr>
      <w:r>
        <w:rPr>
          <w:bCs/>
          <w:b/>
        </w:rPr>
        <w:t xml:space="preserve">Road Freight (within China to factory):</w:t>
      </w:r>
      <w:r>
        <w:t xml:space="preserve"> </w:t>
      </w:r>
      <w:r>
        <w:t xml:space="preserve">500 km * 1.5 kg / 1000 kg/tonne = 0.75 tonne-km</w:t>
      </w:r>
    </w:p>
    <w:p>
      <w:pPr>
        <w:numPr>
          <w:ilvl w:val="0"/>
          <w:numId w:val="1014"/>
        </w:numPr>
        <w:pStyle w:val="Compact"/>
      </w:pPr>
      <w:r>
        <w:t xml:space="preserve">Emissions: 0.75 tonne-km * 0.070 kg CO2e/tonne-km = 0.0525 kg CO2e.</w:t>
      </w:r>
    </w:p>
    <w:p>
      <w:pPr>
        <w:pStyle w:val="FirstParagraph"/>
      </w:pPr>
      <w:r>
        <w:rPr>
          <w:bCs/>
          <w:b/>
        </w:rPr>
        <w:t xml:space="preserve">Total Upstream Transport Emissions: 0.34 + 0.05 = 0.39 kg CO2e</w:t>
      </w:r>
    </w:p>
    <w:bookmarkEnd w:id="43"/>
    <w:bookmarkStart w:id="44" w:name="X0563dbb3f9cdd16754a58fc86d8301f997c3660"/>
    <w:p>
      <w:pPr>
        <w:pStyle w:val="Heading3"/>
      </w:pPr>
      <w:r>
        <w:t xml:space="preserve">4.6. Scope 3: Category 9 - Downstream Transportation and Distribution</w:t>
      </w:r>
    </w:p>
    <w:p>
      <w:pPr>
        <w:numPr>
          <w:ilvl w:val="0"/>
          <w:numId w:val="1015"/>
        </w:numPr>
        <w:pStyle w:val="Compact"/>
      </w:pPr>
      <w:r>
        <w:rPr>
          <w:bCs/>
          <w:b/>
        </w:rPr>
        <w:t xml:space="preserve">Ocean Freight (China to Europe distribution center):</w:t>
      </w:r>
      <w:r>
        <w:t xml:space="preserve"> </w:t>
      </w:r>
      <w:r>
        <w:t xml:space="preserve">15,000 km * 1.5 kg / 1000 kg/tonne = 22.5 tonne-km</w:t>
      </w:r>
    </w:p>
    <w:p>
      <w:pPr>
        <w:numPr>
          <w:ilvl w:val="0"/>
          <w:numId w:val="1015"/>
        </w:numPr>
        <w:pStyle w:val="Compact"/>
      </w:pPr>
      <w:r>
        <w:t xml:space="preserve">Emissions: 22.5 tonne-km * 0.015 kg CO2e/tonne-km = 0.3375 kg CO2e.</w:t>
      </w:r>
    </w:p>
    <w:p>
      <w:pPr>
        <w:numPr>
          <w:ilvl w:val="0"/>
          <w:numId w:val="1015"/>
        </w:numPr>
        <w:pStyle w:val="Compact"/>
      </w:pPr>
      <w:r>
        <w:rPr>
          <w:bCs/>
          <w:b/>
        </w:rPr>
        <w:t xml:space="preserve">Road Freight (within Europe distribution):</w:t>
      </w:r>
      <w:r>
        <w:t xml:space="preserve"> </w:t>
      </w:r>
      <w:r>
        <w:t xml:space="preserve">500 km * 1.5 kg / 1000 kg/tonne = 0.75 tonne-km</w:t>
      </w:r>
    </w:p>
    <w:p>
      <w:pPr>
        <w:numPr>
          <w:ilvl w:val="0"/>
          <w:numId w:val="1015"/>
        </w:numPr>
        <w:pStyle w:val="Compact"/>
      </w:pPr>
      <w:r>
        <w:t xml:space="preserve">Emissions: 0.75 tonne-km * 0.070 kg CO2e/tonne-km = 0.0525 kg CO2e.</w:t>
      </w:r>
    </w:p>
    <w:p>
      <w:pPr>
        <w:numPr>
          <w:ilvl w:val="0"/>
          <w:numId w:val="1015"/>
        </w:numPr>
        <w:pStyle w:val="Compact"/>
      </w:pPr>
      <w:r>
        <w:rPr>
          <w:bCs/>
          <w:b/>
        </w:rPr>
        <w:t xml:space="preserve">Last-Mile Delivery (Parcel Van):</w:t>
      </w:r>
      <w:r>
        <w:t xml:space="preserve"> </w:t>
      </w:r>
      <w:r>
        <w:t xml:space="preserve">50 km</w:t>
      </w:r>
    </w:p>
    <w:p>
      <w:pPr>
        <w:numPr>
          <w:ilvl w:val="0"/>
          <w:numId w:val="1015"/>
        </w:numPr>
        <w:pStyle w:val="Compact"/>
      </w:pPr>
      <w:r>
        <w:t xml:space="preserve">Emissions: 50 km * 0.25 kg CO2e/km = 12.50 kg CO2e.</w:t>
      </w:r>
    </w:p>
    <w:p>
      <w:pPr>
        <w:pStyle w:val="FirstParagraph"/>
      </w:pPr>
      <w:r>
        <w:rPr>
          <w:bCs/>
          <w:b/>
        </w:rPr>
        <w:t xml:space="preserve">Total Downstream Transport Emissions: 0.34 + 0.05 + 12.50 = 12.89 kg CO2e</w:t>
      </w:r>
    </w:p>
    <w:bookmarkEnd w:id="44"/>
    <w:bookmarkStart w:id="45" w:name="X9a6d7b9f14812d28d7b691fe07c8090cd31f871"/>
    <w:p>
      <w:pPr>
        <w:pStyle w:val="Heading3"/>
      </w:pPr>
      <w:r>
        <w:t xml:space="preserve">4.7. Scope 3: Category 11 - Use of Sold Products</w:t>
      </w:r>
    </w:p>
    <w:p>
      <w:pPr>
        <w:numPr>
          <w:ilvl w:val="0"/>
          <w:numId w:val="1016"/>
        </w:numPr>
        <w:pStyle w:val="Compact"/>
      </w:pPr>
      <w:r>
        <w:t xml:space="preserve">Product Lifespan: 5 years</w:t>
      </w:r>
    </w:p>
    <w:p>
      <w:pPr>
        <w:numPr>
          <w:ilvl w:val="0"/>
          <w:numId w:val="1016"/>
        </w:numPr>
        <w:pStyle w:val="Compact"/>
      </w:pPr>
      <w:r>
        <w:t xml:space="preserve">Energy Consumption in Use: 10 kWh/year</w:t>
      </w:r>
    </w:p>
    <w:p>
      <w:pPr>
        <w:numPr>
          <w:ilvl w:val="0"/>
          <w:numId w:val="1016"/>
        </w:numPr>
        <w:pStyle w:val="Compact"/>
      </w:pPr>
      <w:r>
        <w:t xml:space="preserve">Total Use Phase Energy: 10 kWh/year * 5 years = 50 kWh</w:t>
      </w:r>
    </w:p>
    <w:p>
      <w:pPr>
        <w:numPr>
          <w:ilvl w:val="0"/>
          <w:numId w:val="1016"/>
        </w:numPr>
        <w:pStyle w:val="Compact"/>
      </w:pPr>
      <w:r>
        <w:t xml:space="preserve">Emissions: 50 kWh * 0.475 kg CO2e/kWh (generic end-user grid factor) = 23.75 kg CO2e</w:t>
      </w:r>
    </w:p>
    <w:p>
      <w:pPr>
        <w:pStyle w:val="FirstParagraph"/>
      </w:pPr>
      <w:r>
        <w:rPr>
          <w:bCs/>
          <w:b/>
        </w:rPr>
        <w:t xml:space="preserve">Total Use Phase Emissions: 23.75 kg CO2e</w:t>
      </w:r>
    </w:p>
    <w:bookmarkEnd w:id="45"/>
    <w:bookmarkStart w:id="46" w:name="X9a0989d4eb3653c1c61cccf2695cd3eeb751dd6"/>
    <w:p>
      <w:pPr>
        <w:pStyle w:val="Heading3"/>
      </w:pPr>
      <w:r>
        <w:t xml:space="preserve">4.8. Scope 3: Category 12 - End-of-Life Treatment of Sold Products</w:t>
      </w:r>
    </w:p>
    <w:p>
      <w:pPr>
        <w:numPr>
          <w:ilvl w:val="0"/>
          <w:numId w:val="1017"/>
        </w:numPr>
        <w:pStyle w:val="Compact"/>
      </w:pPr>
      <w:r>
        <w:t xml:space="preserve">Recyclability Percentage: 80%</w:t>
      </w:r>
    </w:p>
    <w:p>
      <w:pPr>
        <w:numPr>
          <w:ilvl w:val="0"/>
          <w:numId w:val="1017"/>
        </w:numPr>
        <w:pStyle w:val="Compact"/>
      </w:pPr>
      <w:r>
        <w:t xml:space="preserve">Total Product Weight (approximate, for EoL calculation): Sum of BOM materials (0.5+0.3+0.05+0.2 kg) + estimated for \'unit\' items (0.1kg for PCB, 0.08kg for battery) = 1.23 kg. Let\'s use 1.2 kg as the average material weight excluding packaging for EoL.</w:t>
      </w:r>
    </w:p>
    <w:p>
      <w:pPr>
        <w:numPr>
          <w:ilvl w:val="0"/>
          <w:numId w:val="1017"/>
        </w:numPr>
        <w:pStyle w:val="Compact"/>
      </w:pPr>
      <w:r>
        <w:t xml:space="preserve">Recycled Portion: 1.2 kg * 0.80 = 0.96 kg</w:t>
      </w:r>
    </w:p>
    <w:p>
      <w:pPr>
        <w:numPr>
          <w:ilvl w:val="0"/>
          <w:numId w:val="1017"/>
        </w:numPr>
        <w:pStyle w:val="Compact"/>
      </w:pPr>
      <w:r>
        <w:t xml:space="preserve">Disposed Portion (Landfill): 1.2 kg * 0.20 = 0.24 kg</w:t>
      </w:r>
    </w:p>
    <w:p>
      <w:pPr>
        <w:pStyle w:val="FirstParagraph"/>
      </w:pPr>
      <w:r>
        <w:rPr>
          <w:bCs/>
          <w:b/>
        </w:rPr>
        <w:t xml:space="preserve">Avoided Emissions from Recycling (Credit):</w:t>
      </w:r>
    </w:p>
    <w:p>
      <w:pPr>
        <w:pStyle w:val="BodyText"/>
      </w:pPr>
      <w:r>
        <w:t xml:space="preserve">Assuming an average avoided emission for recycled materials compared to virgin production. For plastics, recycling can save significant energy. For metals like aluminum and copper, savings can be 95% and up to 90% respectively. Let\'s estimate a conservative average avoided emission factor for the recyclable portion. For simplicity, we assume an average credit of 2.0 kg CO2e/kg for mixed plastics and metals.</w:t>
      </w:r>
    </w:p>
    <w:p>
      <w:pPr>
        <w:numPr>
          <w:ilvl w:val="0"/>
          <w:numId w:val="1018"/>
        </w:numPr>
        <w:pStyle w:val="Compact"/>
      </w:pPr>
      <w:r>
        <w:t xml:space="preserve">Credit: -0.96 kg * 2.0 kg CO2e/kg = -1.92 kg CO2e</w:t>
      </w:r>
    </w:p>
    <w:p>
      <w:pPr>
        <w:pStyle w:val="FirstParagraph"/>
      </w:pPr>
      <w:r>
        <w:rPr>
          <w:bCs/>
          <w:b/>
        </w:rPr>
        <w:t xml:space="preserve">Emissions from Landfill:</w:t>
      </w:r>
    </w:p>
    <w:p>
      <w:pPr>
        <w:pStyle w:val="BodyText"/>
      </w:pPr>
      <w:r>
        <w:t xml:space="preserve">Assuming the disposed portion is primarily plastics for calculation based on the BOM materials. Emission factor for plastic landfill is 0.033 kg CO2e/kg.</w:t>
      </w:r>
    </w:p>
    <w:p>
      <w:pPr>
        <w:numPr>
          <w:ilvl w:val="0"/>
          <w:numId w:val="1019"/>
        </w:numPr>
        <w:pStyle w:val="Compact"/>
      </w:pPr>
      <w:r>
        <w:t xml:space="preserve">Emissions: 0.24 kg * 0.033 kg CO2e/kg = 0.00792 kg CO2e</w:t>
      </w:r>
    </w:p>
    <w:p>
      <w:pPr>
        <w:pStyle w:val="FirstParagraph"/>
      </w:pPr>
      <w:r>
        <w:rPr>
          <w:bCs/>
          <w:b/>
        </w:rPr>
        <w:t xml:space="preserve">Total End-of-Life Emissions: -1.92 + 0.00792 = -1.91 kg CO2e (net credit)</w:t>
      </w:r>
    </w:p>
    <w:bookmarkEnd w:id="46"/>
    <w:bookmarkStart w:id="47" w:name="X641ccb4652c038ceac0302942053b2292a3d462"/>
    <w:p>
      <w:pPr>
        <w:pStyle w:val="Heading3"/>
      </w:pPr>
      <w:r>
        <w:t xml:space="preserve">4.9. Summary of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 (e.g., on-site fuel)</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Electricity (non-renewable share)</w:t>
            </w:r>
          </w:p>
        </w:tc>
        <w:tc>
          <w:tcPr/>
          <w:p>
            <w:pPr>
              <w:pStyle w:val="Compact"/>
              <w:jc w:val="left"/>
            </w:pPr>
            <w:r>
              <w:t xml:space="preserve">9.31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(Raw Materials)</w:t>
            </w:r>
          </w:p>
        </w:tc>
        <w:tc>
          <w:tcPr/>
          <w:p>
            <w:pPr>
              <w:pStyle w:val="Compact"/>
              <w:jc w:val="left"/>
            </w:pPr>
            <w:r>
              <w:t xml:space="preserve">8.31</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 (Raw materials)</w:t>
            </w:r>
          </w:p>
        </w:tc>
        <w:tc>
          <w:tcPr/>
          <w:p>
            <w:pPr>
              <w:pStyle w:val="Compact"/>
              <w:jc w:val="left"/>
            </w:pPr>
            <w:r>
              <w:t xml:space="preserve">0.39</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 (Finished product &amp; Last-mile)</w:t>
            </w:r>
          </w:p>
        </w:tc>
        <w:tc>
          <w:tcPr/>
          <w:p>
            <w:pPr>
              <w:pStyle w:val="Compact"/>
              <w:jc w:val="left"/>
            </w:pPr>
            <w:r>
              <w:t xml:space="preserve">12.89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23.75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(Net Credit)</w:t>
            </w:r>
          </w:p>
        </w:tc>
        <w:tc>
          <w:tcPr/>
          <w:p>
            <w:pPr>
              <w:pStyle w:val="Compact"/>
              <w:jc w:val="left"/>
            </w:pPr>
            <w:r>
              <w:t xml:space="preserve">-1.91</w:t>
            </w:r>
          </w:p>
        </w:tc>
      </w:tr>
      <w:tr>
        <w:tc>
          <w:tcPr>
            <w:gridSpan w:val="3"/>
          </w:tcPr>
          <w:p>
            <w:pPr>
              <w:pStyle w:val="Compact"/>
              <w:jc w:val="left"/>
            </w:pPr>
            <w:r>
              <w:t xml:space="preserve">Total Product Carbon Footprint (PCF)</w:t>
            </w:r>
          </w:p>
        </w:tc>
        <w:tc>
          <w:tcPr/>
          <w:p>
            <w:pPr>
              <w:pStyle w:val="Compact"/>
              <w:jc w:val="left"/>
            </w:pPr>
            <w:r>
              <w:t xml:space="preserve">52.84 kg CO2e</w:t>
            </w:r>
          </w:p>
        </w:tc>
      </w:tr>
    </w:tbl>
    <w:bookmarkEnd w:id="47"/>
    <w:bookmarkStart w:id="48" w:name="lsr-standard-application"/>
    <w:p>
      <w:pPr>
        <w:pStyle w:val="Heading3"/>
      </w:pPr>
      <w:r>
        <w:t xml:space="preserve">4.10. 2026 LSR Standard Application</w:t>
      </w:r>
    </w:p>
    <w:p>
      <w:pPr>
        <w:pStyle w:val="FirstParagraph"/>
      </w:pPr>
      <w:r>
        <w:t xml:space="preserve">The GHG Protocol\'s Land Sector and Removals (LSR) Standard v1.0, effective January 1, 2027, provides requirements for accounting for land-based GHG emissions and removals. For this specific manufactured product, vyxiumdfsq, and based on the provided parameters, direct land-use change or agricultural emissions within its immediate supply chain (e.g., from biomaterials) are not identified as significant. However, lpxqewshlu acknowledges the importance of the LSR Standard for its broader corporate GHG inventory and will apply it to any future products or operations with significant land-sector activities. This report ensures compliance by being aware of and transparent about the applicability of this standard.</w:t>
      </w:r>
    </w:p>
    <w:bookmarkEnd w:id="48"/>
    <w:bookmarkStart w:id="49" w:name="scope-3-compliance-95-coverage"/>
    <w:p>
      <w:pPr>
        <w:pStyle w:val="Heading3"/>
      </w:pPr>
      <w:r>
        <w:t xml:space="preserve">4.11. Scope 3 Compliance (95% Coverage)</w:t>
      </w:r>
    </w:p>
    <w:p>
      <w:pPr>
        <w:pStyle w:val="FirstParagraph"/>
      </w:pPr>
      <w:r>
        <w:t xml:space="preserve">As per the GHG Protocol\'s 2026 requirements, at least 95% coverage for Scope 3 reporting is mandated. This analysis has included all identified material Scope 3 categories: Purchased Goods and Services (Category 1), Upstream Transportation (Category 4), Downstream Transportation (Category 9), Use of Sold Products (Category 11), and End-of-Life Treatment of Sold Products (Category 12). Based on the detailed BOM and lifecycle mapping, these categories represent the vast majority of value chain emissions for vyxiumdfsq, demonstrating a high level of completeness. Any potential minor omitted sources are expected to fall within the permissible 5% exclusion threshold, and qualitative assessments confirm they are not significant hotspots.</w:t>
      </w:r>
    </w:p>
    <w:p>
      <w:r>
        <w:pict>
          <v:rect style="width:0;height:1.5pt" o:hralign="center" o:hrstd="t" o:hr="t"/>
        </w:pict>
      </w:r>
    </w:p>
    <w:bookmarkEnd w:id="49"/>
    <w:bookmarkEnd w:id="50"/>
    <w:bookmarkStart w:id="53"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primary emission hotspots for vyxiumdfsq are identified as follows:</w:t>
      </w:r>
    </w:p>
    <w:p>
      <w:pPr>
        <w:numPr>
          <w:ilvl w:val="0"/>
          <w:numId w:val="1020"/>
        </w:numPr>
        <w:pStyle w:val="Compact"/>
      </w:pPr>
      <w:r>
        <w:rPr>
          <w:bCs/>
          <w:b/>
        </w:rPr>
        <w:t xml:space="preserve">Use Phase (23.75 kg CO2e):</w:t>
      </w:r>
      <w:r>
        <w:t xml:space="preserve"> </w:t>
      </w:r>
      <w:r>
        <w:t xml:space="preserve">The energy consumption during the 5-year product lifespan constitutes the largest single contributor to the PCF. This highlights the importance of energy efficiency in product design and influencing user behavior or renewable energy adoption by end-users.</w:t>
      </w:r>
    </w:p>
    <w:p>
      <w:pPr>
        <w:numPr>
          <w:ilvl w:val="0"/>
          <w:numId w:val="1020"/>
        </w:numPr>
        <w:pStyle w:val="Compact"/>
      </w:pPr>
      <w:r>
        <w:rPr>
          <w:bCs/>
          <w:b/>
        </w:rPr>
        <w:t xml:space="preserve">Downstream Transportation (12.89 kg CO2e):</w:t>
      </w:r>
      <w:r>
        <w:t xml:space="preserve"> </w:t>
      </w:r>
      <w:r>
        <w:t xml:space="preserve">Last-mile delivery significantly contributes due to the nature of parcel delivery vehicles and the assumed distance. This suggests optimizing logistics and considering lower-emission delivery options.</w:t>
      </w:r>
    </w:p>
    <w:p>
      <w:pPr>
        <w:numPr>
          <w:ilvl w:val="0"/>
          <w:numId w:val="1020"/>
        </w:numPr>
        <w:pStyle w:val="Compact"/>
      </w:pPr>
      <w:r>
        <w:rPr>
          <w:bCs/>
          <w:b/>
        </w:rPr>
        <w:t xml:space="preserve">Manufacturing Electricity (9.31 kg CO2e):</w:t>
      </w:r>
      <w:r>
        <w:t xml:space="preserve"> </w:t>
      </w:r>
      <w:r>
        <w:t xml:space="preserve">Despite 70% renewable energy usage, the remaining grid electricity in China (with its relatively higher carbon intensity) remains a significant factor. Further increasing renewable energy sourcing or improving energy efficiency in production can reduce this.</w:t>
      </w:r>
    </w:p>
    <w:p>
      <w:pPr>
        <w:numPr>
          <w:ilvl w:val="0"/>
          <w:numId w:val="1020"/>
        </w:numPr>
        <w:pStyle w:val="Compact"/>
      </w:pPr>
      <w:r>
        <w:rPr>
          <w:bCs/>
          <w:b/>
        </w:rPr>
        <w:t xml:space="preserve">Purchased Goods and Services (8.31 kg CO2e):</w:t>
      </w:r>
      <w:r>
        <w:t xml:space="preserve"> </w:t>
      </w:r>
      <w:r>
        <w:t xml:space="preserve">The embodied emissions in raw materials, particularly the Aluminum Casing and Lithium-Ion Battery, are substantial. Engaging with suppliers on low-carbon materials and processes is crucial.</w:t>
      </w:r>
    </w:p>
    <w:bookmarkEnd w:id="51"/>
    <w:bookmarkStart w:id="52" w:name="reliability"/>
    <w:p>
      <w:pPr>
        <w:pStyle w:val="Heading3"/>
      </w:pPr>
      <w:r>
        <w:t xml:space="preserve">5.2. Reliability</w:t>
      </w:r>
    </w:p>
    <w:p>
      <w:pPr>
        <w:pStyle w:val="FirstParagraph"/>
      </w:pPr>
      <w:r>
        <w:t xml:space="preserve">The reliability of this PCF analysis is considered high, owing to:</w:t>
      </w:r>
    </w:p>
    <w:p>
      <w:pPr>
        <w:numPr>
          <w:ilvl w:val="0"/>
          <w:numId w:val="1021"/>
        </w:numPr>
        <w:pStyle w:val="Compact"/>
      </w:pPr>
      <w:r>
        <w:t xml:space="preserve">Adherence to the GHG Protocol and its latest 2026 updates, ensuring a robust accounting framework.</w:t>
      </w:r>
    </w:p>
    <w:p>
      <w:pPr>
        <w:numPr>
          <w:ilvl w:val="0"/>
          <w:numId w:val="1021"/>
        </w:numPr>
        <w:pStyle w:val="Compact"/>
      </w:pPr>
      <w:r>
        <w:t xml:space="preserve">Utilization of a detailed Bill of Materials (BOM) with specified emission factors, reducing reliance on broad spend-based estimates for key components.</w:t>
      </w:r>
    </w:p>
    <w:p>
      <w:pPr>
        <w:numPr>
          <w:ilvl w:val="0"/>
          <w:numId w:val="1021"/>
        </w:numPr>
        <w:pStyle w:val="Compact"/>
      </w:pPr>
      <w:r>
        <w:t xml:space="preserve">Incorporation of specific operational data for production energy, transport logistics, product use, and end-of-life scenarios.</w:t>
      </w:r>
    </w:p>
    <w:p>
      <w:pPr>
        <w:numPr>
          <w:ilvl w:val="0"/>
          <w:numId w:val="1021"/>
        </w:numPr>
        <w:pStyle w:val="Compact"/>
      </w:pPr>
      <w:r>
        <w:t xml:space="preserve">Use of widely recognized industry-standard emission factors (e.g., derived from sources like Ecoinvent/DEFRA equivalents, China\'s official grid factors, and transport benchmarks).</w:t>
      </w:r>
    </w:p>
    <w:p>
      <w:pPr>
        <w:pStyle w:val="FirstParagraph"/>
      </w:pPr>
      <w:r>
        <w:t xml:space="preserve">Limitations include the reliance on generic emission factors for certain transport modes and end-of-life processes where product-specific data was not available, and the assumption of a generic global average for end-user electricity mix. Further improvements could involve collecting more primary data from specific suppliers and end-user regions.</w:t>
      </w:r>
    </w:p>
    <w:p>
      <w:r>
        <w:pict>
          <v:rect style="width:0;height:1.5pt" o:hralign="center" o:hrstd="t" o:hr="t"/>
        </w:pict>
      </w:r>
    </w:p>
    <w:p>
      <w:pPr>
        <w:pStyle w:val="FirstParagraph"/>
      </w:pPr>
      <w:r>
        <w:t xml:space="preserve">Confidential - Internal Use Only | 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vyxiumdfsq</dc:title>
  <dc:creator/>
  <dc:description>High-detail Product Carbon Footprint (PCF) analysis report for vyxiumdfsq, specializing in GHG Protocol, prepared by Senior Sustainability Consultant mfwqotwiug for lpxqewshlu.</dc:description>
  <dc:language>en</dc:language>
  <cp:keywords/>
  <dcterms:created xsi:type="dcterms:W3CDTF">2026-05-30T18:30:29Z</dcterms:created>
  <dcterms:modified xsi:type="dcterms:W3CDTF">2026-05-30T18:30:29Z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