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vykiqnlwfd</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vykiqnlwfd</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yptjxinipx</w:t>
      </w:r>
    </w:p>
    <w:p>
      <w:pPr>
        <w:pStyle w:val="BodyText"/>
      </w:pPr>
      <w:r>
        <w:rPr>
          <w:bCs/>
          <w:b/>
        </w:rPr>
        <w:t xml:space="preserve">Senior Sustainability Consultant:</w:t>
      </w:r>
      <w:r>
        <w:t xml:space="preserve"> </w:t>
      </w:r>
      <w:r>
        <w:t xml:space="preserve">oipkxpzqhs</w:t>
      </w:r>
    </w:p>
    <w:p>
      <w:pPr>
        <w:pStyle w:val="BodyText"/>
      </w:pPr>
      <w:r>
        <w:t xml:space="preserve">This report is generated based on available data and industry standards. While efforts have been made to ensure accuracy, actual emissions may vary based on specific operational details and data precision.</w:t>
      </w:r>
    </w:p>
    <w:bookmarkEnd w:id="20"/>
    <w:bookmarkStart w:id="41" w:name="X236aaba5df9e5551cdbf750de7333878a6d3692"/>
    <w:p>
      <w:pPr>
        <w:pStyle w:val="Heading1"/>
      </w:pPr>
      <w:r>
        <w:t xml:space="preserve">Product Carbon Footprint (PCF) Analysis Report for vykiqnlwfd</w:t>
      </w:r>
    </w:p>
    <w:p>
      <w:pPr>
        <w:pStyle w:val="FirstParagraph"/>
      </w:pPr>
      <w:r>
        <w:t xml:space="preserve">Generated Date: May 27,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\'vykiqnlwfd\', a product manufactured by yptjxinipx. The analysis, conducted by Senior Sustainability Consultant oipkxpzqhs, adheres to the GHG Protocol, incorporating the latest 2026 Land Sector and Removals (LSR) Standard updates and stringent Scope 3 reporting requirements (aiming for at least 95% coverage). The primary system boundary for initial calculations is "factory_gate" (cradle-to-gate), but the comprehensive analysis extends to a cradle-to-grave perspective, including the use phase and end-of-life scenarios, as per the detailed parameters provided. The goal is to identify key emission hotspots across the product\'s lifecycle and provide actionable insights for emission reduction strategies.</w:t>
      </w:r>
    </w:p>
    <w:p>
      <w:r>
        <w:pict>
          <v:rect style="width:0;height:1.5pt" o:hralign="center" o:hrstd="t" o:hr="t"/>
        </w:pict>
      </w:r>
    </w:p>
    <w:bookmarkEnd w:id="21"/>
    <w:bookmarkStart w:id="24" w:name="methodology-and-scope-definition"/>
    <w:p>
      <w:pPr>
        <w:pStyle w:val="Heading2"/>
      </w:pPr>
      <w:r>
        <w:t xml:space="preserve">2. Methodology and Scope Definition</w:t>
      </w:r>
    </w:p>
    <w:p>
      <w:pPr>
        <w:pStyle w:val="FirstParagraph"/>
      </w:pPr>
      <w:r>
        <w:t xml:space="preserve">The Product Carbon Footprint (PCF) analysis for vykiqnlwfd follows a five-step methodology in accordance with the GHG Protocol Product Standard.</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vykiqnlwfd.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While the core production footprint is evaluated at "factory_gate" (cradle-to-gate), the overall analysis incorporates downstream elements including transport to customer, use phase, and end-of-life, effectively extending to a cradle-to-grave scope due to the comprehensive parameters provided. This approach ensures a holistic view of the product\'s environmental impact across its entire lifecycle.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raw material sourcing and product distribution)</w:t>
      </w:r>
    </w:p>
    <w:p>
      <w:pPr>
        <w:numPr>
          <w:ilvl w:val="0"/>
          <w:numId w:val="1001"/>
        </w:numPr>
        <w:pStyle w:val="Compact"/>
      </w:pPr>
      <w:r>
        <w:rPr>
          <w:bCs/>
          <w:b/>
        </w:rPr>
        <w:t xml:space="preserve">Accounting Standard:</w:t>
      </w:r>
      <w:r>
        <w:t xml:space="preserve"> </w:t>
      </w:r>
      <w:r>
        <w:t xml:space="preserve">GHG Protocol Product Standard, supplemented by Corporate Standard (for Scope 1 &amp; 2) and Corporate Value Chain (Scope 3) Accounting and Reporting Standard.</w:t>
      </w:r>
    </w:p>
    <w:p>
      <w:pPr>
        <w:numPr>
          <w:ilvl w:val="0"/>
          <w:numId w:val="1001"/>
        </w:numPr>
        <w:pStyle w:val="Compact"/>
      </w:pPr>
      <w:r>
        <w:rPr>
          <w:bCs/>
          <w:b/>
        </w:rPr>
        <w:t xml:space="preserve">Allocation:</w:t>
      </w:r>
      <w:r>
        <w:t xml:space="preserve"> </w:t>
      </w:r>
      <w:r>
        <w:t xml:space="preserve">Emissions are directly attributed to the functional unit. Where shared processes occur (e.g., transport of multiple goods), allocation is based on mass or economic value, as appropriate. For this PCF, direct attribution to the unit of vykiqnlwfd is prioritized.</w:t>
      </w:r>
    </w:p>
    <w:bookmarkEnd w:id="22"/>
    <w:bookmarkStart w:id="23" w:name="ghg-protocol-adherence-and-2026-updates"/>
    <w:p>
      <w:pPr>
        <w:pStyle w:val="Heading3"/>
      </w:pPr>
      <w:r>
        <w:t xml:space="preserve">2.2. GHG Protocol Adherence and 2026 Updates</w:t>
      </w:r>
    </w:p>
    <w:p>
      <w:pPr>
        <w:pStyle w:val="FirstParagraph"/>
      </w:pPr>
      <w:r>
        <w:t xml:space="preserve">This analysis strictly adheres to the GHG Protocol. Emissions are categorized as follows:</w:t>
      </w:r>
    </w:p>
    <w:p>
      <w:pPr>
        <w:numPr>
          <w:ilvl w:val="0"/>
          <w:numId w:val="1003"/>
        </w:numPr>
        <w:pStyle w:val="Compact"/>
      </w:pPr>
      <w:r>
        <w:rPr>
          <w:bCs/>
          <w:b/>
        </w:rPr>
        <w:t xml:space="preserve">Scope 1 (Direct Emissions):</w:t>
      </w:r>
      <w:r>
        <w:t xml:space="preserve"> </w:t>
      </w:r>
      <w:r>
        <w:t xml:space="preserve">Emissions from sources owned or controlled by yptjxinipx, such as on-site fuel combustion. For a product PCF, these are typically related to the manufacturing process at the factory.</w:t>
      </w:r>
    </w:p>
    <w:p>
      <w:pPr>
        <w:numPr>
          <w:ilvl w:val="0"/>
          <w:numId w:val="1003"/>
        </w:numPr>
        <w:pStyle w:val="Compact"/>
      </w:pPr>
      <w:r>
        <w:rPr>
          <w:bCs/>
          <w:b/>
        </w:rPr>
        <w:t xml:space="preserve">Scope 2 (Purchased Energy Emissions):</w:t>
      </w:r>
      <w:r>
        <w:t xml:space="preserve"> </w:t>
      </w:r>
      <w:r>
        <w:t xml:space="preserve">Indirect emissions from the generation of purchased electricity, steam, heat, or cooling consumed by yptjxinipx\'s manufacturing operations.</w:t>
      </w:r>
    </w:p>
    <w:p>
      <w:pPr>
        <w:numPr>
          <w:ilvl w:val="0"/>
          <w:numId w:val="1003"/>
        </w:numPr>
        <w:pStyle w:val="Compact"/>
      </w:pPr>
      <w:r>
        <w:rPr>
          <w:bCs/>
          <w:b/>
        </w:rPr>
        <w:t xml:space="preserve">Scope 3 (Value Chain Emissions):</w:t>
      </w:r>
      <w:r>
        <w:t xml:space="preserve"> </w:t>
      </w:r>
      <w:r>
        <w:t xml:space="preserve">All other indirect emissions both upstream and downstream in the value chain. This includes categories such as purchased goods and services (materials), transportation and distribution, use of sold products, and end-of-life treatment of sold products. Compliance with the 2026 requirements mandates at least 95% coverage for Scope 3 reporting. This report endeavors to achieve this by meticulously accounting for all significant value chain activities based on the provided parameters.</w:t>
      </w:r>
    </w:p>
    <w:p>
      <w:pPr>
        <w:numPr>
          <w:ilvl w:val="0"/>
          <w:numId w:val="1003"/>
        </w:numPr>
        <w:pStyle w:val="Compact"/>
      </w:pPr>
      <w:r>
        <w:rPr>
          <w:bCs/>
          <w:b/>
        </w:rPr>
        <w:t xml:space="preserve">2026 Land Sector and Removals (LSR) Standard Update:</w:t>
      </w:r>
      <w:r>
        <w:t xml:space="preserve"> </w:t>
      </w:r>
      <w:r>
        <w:t xml:space="preserve">The GHG Protocol Land Sector and Removals Standard, published on January 30, 2026, and effective January 1, 2027, provides accounting requirements and guidance for land emissions, CO₂ removals, and technological CO₂ removals. While the current version primarily applies to agriculture and CO₂ removal technologies and does not yet include forestry, yptjxinipx should track the accompanying Guidance document (expected in Q2 2026) and assess its applicability for future reporting, especially if using bio-based materials or engaging in carbon removal initiatives. For this specific product PCF of \'vykiqnlwfd\', direct land use change impacts are not a primary driver given the material inputs, but the principle of accounting for removals and land sector emissions is acknowledged for broader corporate inventory.</w:t>
      </w:r>
    </w:p>
    <w:p>
      <w:r>
        <w:pict>
          <v:rect style="width:0;height:1.5pt" o:hralign="center" o:hrstd="t" o:hr="t"/>
        </w:pict>
      </w:r>
    </w:p>
    <w:bookmarkEnd w:id="23"/>
    <w:bookmarkEnd w:id="24"/>
    <w:bookmarkStart w:id="30" w:name="X35745a8e252718d5a0d40cb3fbfce10aee0336d"/>
    <w:p>
      <w:pPr>
        <w:pStyle w:val="Heading2"/>
      </w:pPr>
      <w:r>
        <w:t xml:space="preserve">3. Lifecycle Mapping (LCI Inventory Stages) &amp; Data Collection</w:t>
      </w:r>
    </w:p>
    <w:p>
      <w:pPr>
        <w:pStyle w:val="FirstParagraph"/>
      </w:pPr>
      <w:r>
        <w:t xml:space="preserve">This section details the lifecycle stages considered and the data inputs collected for the PCF of vykiqnlwfd. All specific parameter values provided by the user (e.g., \'ergudipr\', \'tpdyfgfury\') are incorporated. Where placeholder strings were given, illustrative, industry-representative data has been simulated and is explicitly noted as such.</w:t>
      </w:r>
    </w:p>
    <w:bookmarkStart w:id="25" w:name="X54579446098793e549b488e182affa959542a7c"/>
    <w:p>
      <w:pPr>
        <w:pStyle w:val="Heading3"/>
      </w:pPr>
      <w:r>
        <w:t xml:space="preserve">3.1. Material Acquisition &amp; Pre-processing (Upstream - Scope 3, Category 1: Purchased Goods and Services)</w:t>
      </w:r>
    </w:p>
    <w:p>
      <w:pPr>
        <w:pStyle w:val="FirstParagraph"/>
      </w:pPr>
      <w:r>
        <w:t xml:space="preserve">The Detailed Bill of Materials (BOM) \'ergudipr\' is used for high-accuracy material impact calculation. Illustrative emission factors, representative of industry averages (e.g., from Ecoinvent/DEFRA equivalents), are applied, as specific factors for \'ergudipr\' were not provided. The total mass of the product (excluding packaging) is estimated at 0.85 kg, and with packaging, 0.95 kg.</w:t>
      </w:r>
    </w:p>
    <w:p>
      <w:pPr>
        <w:pStyle w:val="BodyText"/>
      </w:pPr>
      <w:r>
        <w:rPr>
          <w:bCs/>
          <w:b/>
        </w:rPr>
        <w:t xml:space="preserve">Detailed Bill of Materials (Simulated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piece (approx 0.05 kg)</w:t>
            </w:r>
          </w:p>
        </w:tc>
        <w:tc>
          <w:tcPr/>
          <w:p>
            <w:pPr>
              <w:pStyle w:val="Compact"/>
              <w:jc w:val="left"/>
            </w:pPr>
            <w:r>
              <w:t xml:space="preserve">0.8 (Illustrative)</w:t>
            </w:r>
          </w:p>
        </w:tc>
        <w:tc>
          <w:tcPr/>
          <w:p>
            <w:pPr>
              <w:pStyle w:val="Compact"/>
              <w:jc w:val="left"/>
            </w:pPr>
            <w:r>
              <w:t xml:space="preserve">0.80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P002</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rPr>
          <w:iCs/>
          <w:i/>
        </w:rPr>
        <w:t xml:space="preserve">Note: Emission Factors are illustrative and based on general industry averages from referenced sources, as specific factors for \'ergudipr\' were not provided. For real reporting, primary supplier data is crucial.</w:t>
      </w:r>
    </w:p>
    <w:bookmarkEnd w:id="25"/>
    <w:bookmarkStart w:id="26" w:name="manufacturingproduction-scope-1-2"/>
    <w:p>
      <w:pPr>
        <w:pStyle w:val="Heading3"/>
      </w:pPr>
      <w:r>
        <w:t xml:space="preserve">3.2. Manufacturing/Production (Scope 1 &amp; 2)</w:t>
      </w:r>
    </w:p>
    <w:p>
      <w:pPr>
        <w:pStyle w:val="FirstParagraph"/>
      </w:pPr>
      <w:r>
        <w:t xml:space="preserve">The production phase occurs in China. Energy consumption is customized based on provided data.</w:t>
      </w:r>
    </w:p>
    <w:p>
      <w:pPr>
        <w:numPr>
          <w:ilvl w:val="0"/>
          <w:numId w:val="1004"/>
        </w:numPr>
        <w:pStyle w:val="Compact"/>
      </w:pPr>
      <w:r>
        <w:rPr>
          <w:bCs/>
          <w:b/>
        </w:rPr>
        <w:t xml:space="preserve">Energy Intensity (kWh/unit):</w:t>
      </w:r>
      <w:r>
        <w:t xml:space="preserve"> </w:t>
      </w:r>
      <w:r>
        <w:t xml:space="preserve">pxxyxxxygv (Simulated: 5 kWh/unit)</w:t>
      </w:r>
    </w:p>
    <w:p>
      <w:pPr>
        <w:numPr>
          <w:ilvl w:val="0"/>
          <w:numId w:val="1004"/>
        </w:numPr>
        <w:pStyle w:val="Compact"/>
      </w:pPr>
      <w:r>
        <w:rPr>
          <w:bCs/>
          <w:b/>
        </w:rPr>
        <w:t xml:space="preserve">Renewable Energy Usage:</w:t>
      </w:r>
      <w:r>
        <w:t xml:space="preserve"> </w:t>
      </w:r>
      <w:r>
        <w:t xml:space="preserve">grixnvnmnq (Simulated: 60% Renewable)</w:t>
      </w:r>
    </w:p>
    <w:p>
      <w:pPr>
        <w:numPr>
          <w:ilvl w:val="0"/>
          <w:numId w:val="1004"/>
        </w:numPr>
        <w:pStyle w:val="Compact"/>
      </w:pPr>
      <w:r>
        <w:rPr>
          <w:bCs/>
          <w:b/>
        </w:rPr>
        <w:t xml:space="preserve">Country Grid Emission Factor (China):</w:t>
      </w:r>
      <w:r>
        <w:t xml:space="preserve"> </w:t>
      </w:r>
      <w:r>
        <w:t xml:space="preserve">Approximately 0.6 kg CO2e/kWh (for non-renewable portion)</w:t>
      </w:r>
    </w:p>
    <w:bookmarkEnd w:id="26"/>
    <w:bookmarkStart w:id="27" w:name="X0eb5d8a571fed9383e68c0808ff58b19695bc9d"/>
    <w:p>
      <w:pPr>
        <w:pStyle w:val="Heading3"/>
      </w:pPr>
      <w:r>
        <w:t xml:space="preserve">3.3. Transportation &amp; Distribution (Upstream &amp; Downstream - Scope 3, Category 4 &amp; 9)</w:t>
      </w:r>
    </w:p>
    <w:p>
      <w:pPr>
        <w:pStyle w:val="FirstParagraph"/>
      </w:pPr>
      <w:r>
        <w:t xml:space="preserve">Logistics data (\'Select Mode\', \'tpdyfgfury\', \'Delivery Type\') is incorporated. Given the "Europe Focused" supply chain, a combination of ocean and road freight is assumed for illustrative purposes.</w:t>
      </w:r>
    </w:p>
    <w:p>
      <w:pPr>
        <w:pStyle w:val="BodyText"/>
      </w:pPr>
      <w:r>
        <w:rPr>
          <w:bCs/>
          <w:b/>
        </w:rPr>
        <w:t xml:space="preserve">Illustrative Transport Parameters:</w:t>
      </w:r>
    </w:p>
    <w:p>
      <w:pPr>
        <w:numPr>
          <w:ilvl w:val="0"/>
          <w:numId w:val="1005"/>
        </w:numPr>
        <w:pStyle w:val="Compact"/>
      </w:pPr>
      <w:r>
        <w:rPr>
          <w:bCs/>
          <w:b/>
        </w:rPr>
        <w:t xml:space="preserve">Raw materials/Components (Europe to China - Ocean Freight):</w:t>
      </w:r>
    </w:p>
    <w:p>
      <w:pPr>
        <w:numPr>
          <w:ilvl w:val="1"/>
          <w:numId w:val="1006"/>
        </w:numPr>
        <w:pStyle w:val="Compact"/>
      </w:pPr>
      <w:r>
        <w:t xml:space="preserve">Distance: 15,000 km (Simulated from \'tpdyfgfury\')</w:t>
      </w:r>
    </w:p>
    <w:p>
      <w:pPr>
        <w:numPr>
          <w:ilvl w:val="1"/>
          <w:numId w:val="1006"/>
        </w:numPr>
        <w:pStyle w:val="Compact"/>
      </w:pPr>
      <w:r>
        <w:t xml:space="preserve">Emission Factor (Ocean Freight - Container Ship): 0.016 kg CO2e/tonne-km</w:t>
      </w:r>
    </w:p>
    <w:p>
      <w:pPr>
        <w:numPr>
          <w:ilvl w:val="1"/>
          <w:numId w:val="1006"/>
        </w:numPr>
        <w:pStyle w:val="Compact"/>
      </w:pPr>
      <w:r>
        <w:t xml:space="preserve">Assumed Mass: Average of 0.85 kg product components (0.00085 tonnes)</w:t>
      </w:r>
    </w:p>
    <w:p>
      <w:pPr>
        <w:numPr>
          <w:ilvl w:val="0"/>
          <w:numId w:val="1005"/>
        </w:numPr>
        <w:pStyle w:val="Compact"/>
      </w:pPr>
      <w:r>
        <w:rPr>
          <w:bCs/>
          <w:b/>
        </w:rPr>
        <w:t xml:space="preserve">Components (within China - Road Freight):</w:t>
      </w:r>
    </w:p>
    <w:p>
      <w:pPr>
        <w:numPr>
          <w:ilvl w:val="1"/>
          <w:numId w:val="1007"/>
        </w:numPr>
        <w:pStyle w:val="Compact"/>
      </w:pPr>
      <w:r>
        <w:t xml:space="preserve">Distance: 500 km (Simulated from \'tpdyfgfury\')</w:t>
      </w:r>
    </w:p>
    <w:p>
      <w:pPr>
        <w:numPr>
          <w:ilvl w:val="1"/>
          <w:numId w:val="1007"/>
        </w:numPr>
        <w:pStyle w:val="Compact"/>
      </w:pPr>
      <w:r>
        <w:t xml:space="preserve">Emission Factor (Road Freight - Truck): 0.09 kg CO2e/tonne-km (Illustrative)</w:t>
      </w:r>
    </w:p>
    <w:p>
      <w:pPr>
        <w:numPr>
          <w:ilvl w:val="1"/>
          <w:numId w:val="1007"/>
        </w:numPr>
        <w:pStyle w:val="Compact"/>
      </w:pPr>
      <w:r>
        <w:t xml:space="preserve">Assumed Mass: 0.85 kg (0.00085 tonnes)</w:t>
      </w:r>
    </w:p>
    <w:p>
      <w:pPr>
        <w:numPr>
          <w:ilvl w:val="0"/>
          <w:numId w:val="1005"/>
        </w:numPr>
        <w:pStyle w:val="Compact"/>
      </w:pPr>
      <w:r>
        <w:rPr>
          <w:bCs/>
          <w:b/>
        </w:rPr>
        <w:t xml:space="preserve">Finished Product (China to Europe - Ocean Freight):</w:t>
      </w:r>
    </w:p>
    <w:p>
      <w:pPr>
        <w:numPr>
          <w:ilvl w:val="1"/>
          <w:numId w:val="1008"/>
        </w:numPr>
        <w:pStyle w:val="Compact"/>
      </w:pPr>
      <w:r>
        <w:t xml:space="preserve">Distance: 15,000 km (Simulated from \'tpdyfgfury\')</w:t>
      </w:r>
    </w:p>
    <w:p>
      <w:pPr>
        <w:numPr>
          <w:ilvl w:val="1"/>
          <w:numId w:val="1008"/>
        </w:numPr>
        <w:pStyle w:val="Compact"/>
      </w:pPr>
      <w:r>
        <w:t xml:space="preserve">Emission Factor (Ocean Freight - Container Ship): 0.016 kg CO2e/tonne-km</w:t>
      </w:r>
    </w:p>
    <w:p>
      <w:pPr>
        <w:numPr>
          <w:ilvl w:val="1"/>
          <w:numId w:val="1008"/>
        </w:numPr>
        <w:pStyle w:val="Compact"/>
      </w:pPr>
      <w:r>
        <w:t xml:space="preserve">Assumed Mass: 0.95 kg (product + packaging) (0.00095 tonnes)</w:t>
      </w:r>
    </w:p>
    <w:p>
      <w:pPr>
        <w:numPr>
          <w:ilvl w:val="0"/>
          <w:numId w:val="1005"/>
        </w:numPr>
        <w:pStyle w:val="Compact"/>
      </w:pPr>
      <w:r>
        <w:rPr>
          <w:bCs/>
          <w:b/>
        </w:rPr>
        <w:t xml:space="preserve">Last-Mile Delivery (Europe Distribution Center to Customer - Road Freight):</w:t>
      </w:r>
    </w:p>
    <w:p>
      <w:pPr>
        <w:numPr>
          <w:ilvl w:val="1"/>
          <w:numId w:val="1009"/>
        </w:numPr>
        <w:pStyle w:val="Compact"/>
      </w:pPr>
      <w:r>
        <w:t xml:space="preserve">Distance: 100 km (Simulated from \'tpdyfgfury\' and \'Delivery Type\')</w:t>
      </w:r>
    </w:p>
    <w:p>
      <w:pPr>
        <w:numPr>
          <w:ilvl w:val="1"/>
          <w:numId w:val="1009"/>
        </w:numPr>
        <w:pStyle w:val="Compact"/>
      </w:pPr>
      <w:r>
        <w:t xml:space="preserve">Emission Factor (Road Freight - Light Commercial Vehicle): 0.15 kg CO2e/tonne-km (Illustrative)</w:t>
      </w:r>
    </w:p>
    <w:p>
      <w:pPr>
        <w:numPr>
          <w:ilvl w:val="1"/>
          <w:numId w:val="1009"/>
        </w:numPr>
        <w:pStyle w:val="Compact"/>
      </w:pPr>
      <w:r>
        <w:t xml:space="preserve">Assumed Mass: 0.95 kg (product + packaging) (0.00095 tonnes)</w:t>
      </w:r>
    </w:p>
    <w:bookmarkEnd w:id="27"/>
    <w:bookmarkStart w:id="28" w:name="Xb6379c31f00345ccff01e90b5cbf0314a51933a"/>
    <w:p>
      <w:pPr>
        <w:pStyle w:val="Heading3"/>
      </w:pPr>
      <w:r>
        <w:t xml:space="preserve">3.4. Use Phase (Downstream - Scope 3, Category 11: Use of Sold Products)</w:t>
      </w:r>
    </w:p>
    <w:p>
      <w:pPr>
        <w:pStyle w:val="FirstParagraph"/>
      </w:pPr>
      <w:r>
        <w:t xml:space="preserve">The \'Use Phase\' calculation uses specific durability and consumption data.</w:t>
      </w:r>
    </w:p>
    <w:p>
      <w:pPr>
        <w:numPr>
          <w:ilvl w:val="0"/>
          <w:numId w:val="1010"/>
        </w:numPr>
        <w:pStyle w:val="Compact"/>
      </w:pPr>
      <w:r>
        <w:rPr>
          <w:bCs/>
          <w:b/>
        </w:rPr>
        <w:t xml:space="preserve">Product Lifespan:</w:t>
      </w:r>
      <w:r>
        <w:t xml:space="preserve"> </w:t>
      </w:r>
      <w:r>
        <w:t xml:space="preserve">jqjfemmiys (Simulated: 5 years)</w:t>
      </w:r>
    </w:p>
    <w:p>
      <w:pPr>
        <w:numPr>
          <w:ilvl w:val="0"/>
          <w:numId w:val="1010"/>
        </w:numPr>
        <w:pStyle w:val="Compact"/>
      </w:pPr>
      <w:r>
        <w:rPr>
          <w:bCs/>
          <w:b/>
        </w:rPr>
        <w:t xml:space="preserve">Energy Consumption in Use:</w:t>
      </w:r>
      <w:r>
        <w:t xml:space="preserve"> </w:t>
      </w:r>
      <w:r>
        <w:t xml:space="preserve">gqezdhmwlg (Simulated: 10 kWh/year)</w:t>
      </w:r>
    </w:p>
    <w:p>
      <w:pPr>
        <w:numPr>
          <w:ilvl w:val="0"/>
          <w:numId w:val="1010"/>
        </w:numPr>
        <w:pStyle w:val="Compact"/>
      </w:pPr>
      <w:r>
        <w:rPr>
          <w:bCs/>
          <w:b/>
        </w:rPr>
        <w:t xml:space="preserve">Grid Emission Factor (Europe Average):</w:t>
      </w:r>
      <w:r>
        <w:t xml:space="preserve"> </w:t>
      </w:r>
      <w:r>
        <w:t xml:space="preserve">Approximately 0.35 kg CO2e/kWh (Illustrative)</w:t>
      </w:r>
    </w:p>
    <w:bookmarkEnd w:id="28"/>
    <w:bookmarkStart w:id="29" w:name="Xd93e29001f1f9e38fa44a67bc0f910c3f113310"/>
    <w:p>
      <w:pPr>
        <w:pStyle w:val="Heading3"/>
      </w:pPr>
      <w:r>
        <w:t xml:space="preserve">3.5. End-of-Life (EoL) (Downstream - Scope 3, Category 12: End-of-Life Treatment of Sold Products)</w:t>
      </w:r>
    </w:p>
    <w:p>
      <w:pPr>
        <w:pStyle w:val="FirstParagraph"/>
      </w:pPr>
      <w:r>
        <w:t xml:space="preserve">EoL scenarios incorporate circular economy impacts.</w:t>
      </w:r>
    </w:p>
    <w:p>
      <w:pPr>
        <w:numPr>
          <w:ilvl w:val="0"/>
          <w:numId w:val="1011"/>
        </w:numPr>
        <w:pStyle w:val="Compact"/>
      </w:pPr>
      <w:r>
        <w:rPr>
          <w:bCs/>
          <w:b/>
        </w:rPr>
        <w:t xml:space="preserve">Recyclability Percentage:</w:t>
      </w:r>
      <w:r>
        <w:t xml:space="preserve"> </w:t>
      </w:r>
      <w:r>
        <w:t xml:space="preserve">mijpntrorr (Simulated: 75% by mass)</w:t>
      </w:r>
    </w:p>
    <w:p>
      <w:pPr>
        <w:numPr>
          <w:ilvl w:val="0"/>
          <w:numId w:val="1011"/>
        </w:numPr>
        <w:pStyle w:val="Compact"/>
      </w:pPr>
      <w:r>
        <w:rPr>
          <w:bCs/>
          <w:b/>
        </w:rPr>
        <w:t xml:space="preserve">Circular/Take-back Programs:</w:t>
      </w:r>
      <w:r>
        <w:t xml:space="preserve"> </w:t>
      </w:r>
      <w:r>
        <w:t xml:space="preserve">tzgqhdyutv (Simulated: Yes, established program for take-back and recycling)</w:t>
      </w:r>
    </w:p>
    <w:p>
      <w:pPr>
        <w:numPr>
          <w:ilvl w:val="0"/>
          <w:numId w:val="1011"/>
        </w:numPr>
        <w:pStyle w:val="Compact"/>
      </w:pPr>
      <w:r>
        <w:rPr>
          <w:bCs/>
          <w:b/>
        </w:rPr>
        <w:t xml:space="preserve">Disposal Emission Factor (Landfill, for unrecycled portion):</w:t>
      </w:r>
      <w:r>
        <w:t xml:space="preserve"> </w:t>
      </w:r>
      <w:r>
        <w:t xml:space="preserve">Approximately 0.5 kg CO2e/kg (Illustrative for mixed waste)</w:t>
      </w:r>
    </w:p>
    <w:p>
      <w:pPr>
        <w:numPr>
          <w:ilvl w:val="0"/>
          <w:numId w:val="1011"/>
        </w:numPr>
        <w:pStyle w:val="Compact"/>
      </w:pPr>
      <w:r>
        <w:rPr>
          <w:bCs/>
          <w:b/>
        </w:rPr>
        <w:t xml:space="preserve">Recycling Credit:</w:t>
      </w:r>
      <w:r>
        <w:t xml:space="preserve"> </w:t>
      </w:r>
      <w:r>
        <w:t xml:space="preserve">For the recycled portion, an avoided emissions credit is applied, acknowledging the energy savings from using recycled materials over virgin ones. A simplified credit of -0.5 kg CO2e/kg for recycled content is assumed, reflecting a conservative benefit.</w:t>
      </w:r>
    </w:p>
    <w:p>
      <w:r>
        <w:pict>
          <v:rect style="width:0;height:1.5pt" o:hralign="center" o:hrstd="t" o:hr="t"/>
        </w:pict>
      </w:r>
    </w:p>
    <w:bookmarkEnd w:id="29"/>
    <w:bookmarkEnd w:id="30"/>
    <w:bookmarkStart w:id="36" w:name="X439a6e6dcb43c636bf515ffaf3f59bce0bd6490"/>
    <w:p>
      <w:pPr>
        <w:pStyle w:val="Heading2"/>
      </w:pPr>
      <w:r>
        <w:t xml:space="preserve">4. Emission Calculation (Activity * Emission Factor = CO2e)</w:t>
      </w:r>
    </w:p>
    <w:p>
      <w:pPr>
        <w:pStyle w:val="FirstParagraph"/>
      </w:pPr>
      <w:r>
        <w:t xml:space="preserve">Emissions are calculated for each stage and categorized according to the GHG Protocol.</w:t>
      </w:r>
    </w:p>
    <w:bookmarkStart w:id="31" w:name="X4dafafe4a63eba5025fca8fd479a2f5da492c68"/>
    <w:p>
      <w:pPr>
        <w:pStyle w:val="Heading3"/>
      </w:pPr>
      <w:r>
        <w:t xml:space="preserve">4.1. Material Acquisition &amp; Pre-processing (Upstream - Scope 3, Category 1)</w:t>
      </w:r>
    </w:p>
    <w:p>
      <w:pPr>
        <w:pStyle w:val="FirstParagraph"/>
      </w:pPr>
      <w:r>
        <w:t xml:space="preserve">Total raw material impact (from BOM table): 3.35 + 0.70 + 0.80 + 1.20 + 0.10 = 6.15 kg CO2e</w:t>
      </w:r>
    </w:p>
    <w:p>
      <w:pPr>
        <w:pStyle w:val="BodyText"/>
      </w:pPr>
      <w:r>
        <w:rPr>
          <w:bCs/>
          <w:b/>
        </w:rPr>
        <w:t xml:space="preserve">Total Material Emissions: 6.15 kg CO2e</w:t>
      </w:r>
    </w:p>
    <w:bookmarkEnd w:id="31"/>
    <w:bookmarkStart w:id="32" w:name="manufacturingproduction-scope-1-2-1"/>
    <w:p>
      <w:pPr>
        <w:pStyle w:val="Heading3"/>
      </w:pPr>
      <w:r>
        <w:t xml:space="preserve">4.2. Manufacturing/Production (Scope 1 &amp; 2)</w:t>
      </w:r>
    </w:p>
    <w:p>
      <w:pPr>
        <w:pStyle w:val="FirstParagraph"/>
      </w:pPr>
      <w:r>
        <w:t xml:space="preserve">No direct Scope 1 emissions are assumed for this product\'s manufacturing beyond electricity use, which is covered in Scope 2. If yptjxinipx had on-site combustion, it would be included here.</w:t>
      </w:r>
    </w:p>
    <w:p>
      <w:pPr>
        <w:numPr>
          <w:ilvl w:val="0"/>
          <w:numId w:val="1012"/>
        </w:numPr>
        <w:pStyle w:val="Compact"/>
      </w:pPr>
      <w:r>
        <w:t xml:space="preserve">Total Energy Consumption: 5 kWh/unit</w:t>
      </w:r>
    </w:p>
    <w:p>
      <w:pPr>
        <w:numPr>
          <w:ilvl w:val="0"/>
          <w:numId w:val="1012"/>
        </w:numPr>
        <w:pStyle w:val="Compact"/>
      </w:pPr>
      <w:r>
        <w:t xml:space="preserve">Renewable Energy Portion: 60% * 5 kWh = 3 kWh</w:t>
      </w:r>
    </w:p>
    <w:p>
      <w:pPr>
        <w:numPr>
          <w:ilvl w:val="0"/>
          <w:numId w:val="1012"/>
        </w:numPr>
        <w:pStyle w:val="Compact"/>
      </w:pPr>
      <w:r>
        <w:t xml:space="preserve">Non-Renewable Energy Portion: (1 - 0.60) * 5 kWh = 2 kWh</w:t>
      </w:r>
    </w:p>
    <w:p>
      <w:pPr>
        <w:numPr>
          <w:ilvl w:val="0"/>
          <w:numId w:val="1012"/>
        </w:numPr>
        <w:pStyle w:val="Compact"/>
      </w:pPr>
      <w:r>
        <w:t xml:space="preserve">Emissions from Non-Renewable Electricity: 2 kWh * 0.6 kg CO2e/kWh (China grid) = 1.20 kg CO2e</w:t>
      </w:r>
    </w:p>
    <w:p>
      <w:pPr>
        <w:pStyle w:val="FirstParagraph"/>
      </w:pPr>
      <w:r>
        <w:rPr>
          <w:bCs/>
          <w:b/>
        </w:rPr>
        <w:t xml:space="preserve">Total Production Emissions (Scope 2): 1.20 kg CO2e</w:t>
      </w:r>
    </w:p>
    <w:bookmarkEnd w:id="32"/>
    <w:bookmarkStart w:id="33" w:name="X1aba12e767cf943a5f815dc779ff8a22eed13a2"/>
    <w:p>
      <w:pPr>
        <w:pStyle w:val="Heading3"/>
      </w:pPr>
      <w:r>
        <w:t xml:space="preserve">4.3. Transportation &amp; Distribution (Scope 3, Category 4 &amp; 9)</w:t>
      </w:r>
    </w:p>
    <w:p>
      <w:pPr>
        <w:numPr>
          <w:ilvl w:val="0"/>
          <w:numId w:val="1013"/>
        </w:numPr>
        <w:pStyle w:val="Compact"/>
      </w:pPr>
      <w:r>
        <w:rPr>
          <w:bCs/>
          <w:b/>
        </w:rPr>
        <w:t xml:space="preserve">Raw Materials/Components (Upstream - Ocean Freight):</w:t>
      </w:r>
      <w:r>
        <w:t xml:space="preserve"> </w:t>
      </w:r>
      <w:r>
        <w:t xml:space="preserve">0.00085 tonnes * 15,000 km * 0.016 kg CO2e/tonne-km = 0.204 kg CO2e</w:t>
      </w:r>
    </w:p>
    <w:p>
      <w:pPr>
        <w:numPr>
          <w:ilvl w:val="0"/>
          <w:numId w:val="1013"/>
        </w:numPr>
        <w:pStyle w:val="Compact"/>
      </w:pPr>
      <w:r>
        <w:rPr>
          <w:bCs/>
          <w:b/>
        </w:rPr>
        <w:t xml:space="preserve">Components (Upstream - Road Freight in China):</w:t>
      </w:r>
      <w:r>
        <w:t xml:space="preserve"> </w:t>
      </w:r>
      <w:r>
        <w:t xml:space="preserve">0.00085 tonnes * 500 km * 0.09 kg CO2e/tonne-km = 0.038 kg CO2e</w:t>
      </w:r>
    </w:p>
    <w:p>
      <w:pPr>
        <w:numPr>
          <w:ilvl w:val="0"/>
          <w:numId w:val="1013"/>
        </w:numPr>
        <w:pStyle w:val="Compact"/>
      </w:pPr>
      <w:r>
        <w:rPr>
          <w:bCs/>
          <w:b/>
        </w:rPr>
        <w:t xml:space="preserve">Finished Product (Downstream - Ocean Freight):</w:t>
      </w:r>
      <w:r>
        <w:t xml:space="preserve"> </w:t>
      </w:r>
      <w:r>
        <w:t xml:space="preserve">0.00095 tonnes * 15,000 km * 0.016 kg CO2e/tonne-km = 0.228 kg CO2e</w:t>
      </w:r>
    </w:p>
    <w:p>
      <w:pPr>
        <w:numPr>
          <w:ilvl w:val="0"/>
          <w:numId w:val="1013"/>
        </w:numPr>
        <w:pStyle w:val="Compact"/>
      </w:pPr>
      <w:r>
        <w:rPr>
          <w:bCs/>
          <w:b/>
        </w:rPr>
        <w:t xml:space="preserve">Last-Mile Delivery (Downstream - Road Freight in Europe):</w:t>
      </w:r>
      <w:r>
        <w:t xml:space="preserve"> </w:t>
      </w:r>
      <w:r>
        <w:t xml:space="preserve">0.00095 tonnes * 100 km * 0.15 kg CO2e/tonne-km = 0.014 kg CO2e</w:t>
      </w:r>
    </w:p>
    <w:p>
      <w:pPr>
        <w:pStyle w:val="FirstParagraph"/>
      </w:pPr>
      <w:r>
        <w:rPr>
          <w:bCs/>
          <w:b/>
        </w:rPr>
        <w:t xml:space="preserve">Total Transportation Emissions (Scope 3, Cat 4 &amp; 9): 0.204 + 0.038 + 0.228 + 0.014 = 0.484 kg CO2e</w:t>
      </w:r>
    </w:p>
    <w:bookmarkEnd w:id="33"/>
    <w:bookmarkStart w:id="34" w:name="use-phase-scope-3-category-11"/>
    <w:p>
      <w:pPr>
        <w:pStyle w:val="Heading3"/>
      </w:pPr>
      <w:r>
        <w:t xml:space="preserve">4.4. Use Phase (Scope 3, Category 11)</w:t>
      </w:r>
    </w:p>
    <w:p>
      <w:pPr>
        <w:numPr>
          <w:ilvl w:val="0"/>
          <w:numId w:val="1014"/>
        </w:numPr>
        <w:pStyle w:val="Compact"/>
      </w:pPr>
      <w:r>
        <w:t xml:space="preserve">Total Energy Consumption in Use: 5 years * 10 kWh/year = 50 kWh</w:t>
      </w:r>
    </w:p>
    <w:p>
      <w:pPr>
        <w:numPr>
          <w:ilvl w:val="0"/>
          <w:numId w:val="1014"/>
        </w:numPr>
        <w:pStyle w:val="Compact"/>
      </w:pPr>
      <w:r>
        <w:t xml:space="preserve">Emissions from Use Phase: 50 kWh * 0.35 kg CO2e/kWh (Europe grid) = 17.50 kg CO2e</w:t>
      </w:r>
    </w:p>
    <w:p>
      <w:pPr>
        <w:pStyle w:val="FirstParagraph"/>
      </w:pPr>
      <w:r>
        <w:rPr>
          <w:bCs/>
          <w:b/>
        </w:rPr>
        <w:t xml:space="preserve">Total Use Phase Emissions (Scope 3, Cat 11): 17.50 kg CO2e</w:t>
      </w:r>
    </w:p>
    <w:bookmarkEnd w:id="34"/>
    <w:bookmarkStart w:id="35" w:name="end-of-life-eol-scope-3-category-12"/>
    <w:p>
      <w:pPr>
        <w:pStyle w:val="Heading3"/>
      </w:pPr>
      <w:r>
        <w:t xml:space="preserve">4.5. End-of-Life (EoL) (Scope 3, Category 12)</w:t>
      </w:r>
    </w:p>
    <w:p>
      <w:pPr>
        <w:numPr>
          <w:ilvl w:val="0"/>
          <w:numId w:val="1015"/>
        </w:numPr>
        <w:pStyle w:val="Compact"/>
      </w:pPr>
      <w:r>
        <w:t xml:space="preserve">Total Product Mass at EoL (Product + Packaging): 0.95 kg</w:t>
      </w:r>
    </w:p>
    <w:p>
      <w:pPr>
        <w:numPr>
          <w:ilvl w:val="0"/>
          <w:numId w:val="1015"/>
        </w:numPr>
        <w:pStyle w:val="Compact"/>
      </w:pPr>
      <w:r>
        <w:t xml:space="preserve">Recycled Portion: 0.95 kg * 0.75 = 0.7125 kg</w:t>
      </w:r>
    </w:p>
    <w:p>
      <w:pPr>
        <w:numPr>
          <w:ilvl w:val="0"/>
          <w:numId w:val="1015"/>
        </w:numPr>
        <w:pStyle w:val="Compact"/>
      </w:pPr>
      <w:r>
        <w:t xml:space="preserve">Disposed (Landfilled) Portion: 0.95 kg * (1 - 0.75) = 0.2375 kg</w:t>
      </w:r>
    </w:p>
    <w:p>
      <w:pPr>
        <w:numPr>
          <w:ilvl w:val="0"/>
          <w:numId w:val="1015"/>
        </w:numPr>
        <w:pStyle w:val="Compact"/>
      </w:pPr>
      <w:r>
        <w:t xml:space="preserve">Emissions from Landfilled Portion: 0.2375 kg * 0.5 kg CO2e/kg (Landfill EF) = 0.119 kg CO2e</w:t>
      </w:r>
    </w:p>
    <w:p>
      <w:pPr>
        <w:numPr>
          <w:ilvl w:val="0"/>
          <w:numId w:val="1015"/>
        </w:numPr>
        <w:pStyle w:val="Compact"/>
      </w:pPr>
      <w:r>
        <w:t xml:space="preserve">Recycling Credit: 0.7125 kg * -0.5 kg CO2e/kg (Recycling Credit EF) = -0.356 kg CO2e</w:t>
      </w:r>
    </w:p>
    <w:p>
      <w:pPr>
        <w:pStyle w:val="FirstParagraph"/>
      </w:pPr>
      <w:r>
        <w:rPr>
          <w:bCs/>
          <w:b/>
        </w:rPr>
        <w:t xml:space="preserve">Total End-of-Life Emissions (Scope 3, Cat 12): 0.119 - 0.356 = -0.237 kg CO2e</w:t>
      </w:r>
    </w:p>
    <w:p>
      <w:r>
        <w:pict>
          <v:rect style="width:0;height:1.5pt" o:hralign="center" o:hrstd="t" o:hr="t"/>
        </w:pict>
      </w:r>
    </w:p>
    <w:bookmarkEnd w:id="35"/>
    <w:bookmarkEnd w:id="36"/>
    <w:bookmarkStart w:id="40" w:name="review-report"/>
    <w:p>
      <w:pPr>
        <w:pStyle w:val="Heading2"/>
      </w:pPr>
      <w:r>
        <w:t xml:space="preserve">5. Review &amp; Report</w:t>
      </w:r>
    </w:p>
    <w:bookmarkStart w:id="37" w:name="Xcfcc0d5db39938a49f6d77f65efadab0232d54f"/>
    <w:p>
      <w:pPr>
        <w:pStyle w:val="Heading3"/>
      </w:pPr>
      <w:r>
        <w:t xml:space="preserve">5.1. Total Product Carbon Footprint (PCF) for vykiqnlwfd</w:t>
      </w:r>
    </w:p>
    <w:p>
      <w:pPr>
        <w:pStyle w:val="FirstParagraph"/>
      </w:pPr>
      <w:r>
        <w:rPr>
          <w:bCs/>
          <w:b/>
        </w:rPr>
        <w:t xml:space="preserve">Summary of Emissions by Scope and Lifecycle Stage (per 1.0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6.150</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1.200</w:t>
            </w:r>
          </w:p>
        </w:tc>
      </w:tr>
      <w:tr>
        <w:tc>
          <w:tcPr/>
          <w:p>
            <w:pPr>
              <w:pStyle w:val="Compact"/>
              <w:jc w:val="left"/>
            </w:pPr>
            <w:r>
              <w:t xml:space="preserve">Transportation &amp; Distribution (Upstream)</w:t>
            </w:r>
          </w:p>
        </w:tc>
        <w:tc>
          <w:tcPr/>
          <w:p>
            <w:pPr>
              <w:pStyle w:val="Compact"/>
              <w:jc w:val="left"/>
            </w:pPr>
            <w:r>
              <w:t xml:space="preserve">Scope 3, Category 4</w:t>
            </w:r>
          </w:p>
        </w:tc>
        <w:tc>
          <w:tcPr/>
          <w:p>
            <w:pPr>
              <w:pStyle w:val="Compact"/>
              <w:jc w:val="left"/>
            </w:pPr>
            <w:r>
              <w:t xml:space="preserve">0.242</w:t>
            </w:r>
          </w:p>
        </w:tc>
      </w:tr>
      <w:tr>
        <w:tc>
          <w:tcPr/>
          <w:p>
            <w:pPr>
              <w:pStyle w:val="Compact"/>
              <w:jc w:val="left"/>
            </w:pPr>
            <w:r>
              <w:t xml:space="preserve">Transportation &amp; Distribution (Downstream)</w:t>
            </w:r>
          </w:p>
        </w:tc>
        <w:tc>
          <w:tcPr/>
          <w:p>
            <w:pPr>
              <w:pStyle w:val="Compact"/>
              <w:jc w:val="left"/>
            </w:pPr>
            <w:r>
              <w:t xml:space="preserve">Scope 3, Category 9</w:t>
            </w:r>
          </w:p>
        </w:tc>
        <w:tc>
          <w:tcPr/>
          <w:p>
            <w:pPr>
              <w:pStyle w:val="Compact"/>
              <w:jc w:val="left"/>
            </w:pPr>
            <w:r>
              <w:t xml:space="preserve">0.242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17.500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-0.237</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25.100 kg CO2e</w:t>
            </w:r>
          </w:p>
        </w:tc>
      </w:tr>
    </w:tbl>
    <w:bookmarkEnd w:id="37"/>
    <w:bookmarkStart w:id="38" w:name="emission-hotspots-and-reliability"/>
    <w:p>
      <w:pPr>
        <w:pStyle w:val="Heading3"/>
      </w:pPr>
      <w:r>
        <w:t xml:space="preserve">5.2. Emission Hotspots and Reliability</w:t>
      </w:r>
    </w:p>
    <w:p>
      <w:pPr>
        <w:pStyle w:val="FirstParagraph"/>
      </w:pPr>
      <w:r>
        <w:t xml:space="preserve">The analysis reveals the following key emission hotspots for vykiqnlwfd:</w:t>
      </w:r>
    </w:p>
    <w:p>
      <w:pPr>
        <w:numPr>
          <w:ilvl w:val="0"/>
          <w:numId w:val="1016"/>
        </w:numPr>
        <w:pStyle w:val="Compact"/>
      </w:pPr>
      <w:r>
        <w:rPr>
          <w:bCs/>
          <w:b/>
        </w:rPr>
        <w:t xml:space="preserve">Use Phase:</w:t>
      </w:r>
      <w:r>
        <w:t xml:space="preserve"> </w:t>
      </w:r>
      <w:r>
        <w:t xml:space="preserve">With 17.50 kg CO2e, the energy consumption during the product\'s 5-year lifespan is by far the largest contributor to its PCF, accounting for approximately 69.7% of the total. This highlights the critical importance of energy efficiency during product use.</w:t>
      </w:r>
    </w:p>
    <w:p>
      <w:pPr>
        <w:numPr>
          <w:ilvl w:val="0"/>
          <w:numId w:val="1016"/>
        </w:numPr>
        <w:pStyle w:val="Compact"/>
      </w:pPr>
      <w:r>
        <w:rPr>
          <w:bCs/>
          <w:b/>
        </w:rPr>
        <w:t xml:space="preserve">Material Acquisition &amp; Pre-processing:</w:t>
      </w:r>
      <w:r>
        <w:t xml:space="preserve"> </w:t>
      </w:r>
      <w:r>
        <w:t xml:space="preserve">The upstream impact of raw materials, particularly the Aluminum Casing and Lithium-ion Battery, contributes 6.15 kg CO2e (approx. 24.5%). This underscores the need for sustainable material sourcing and design for material efficiency.</w:t>
      </w:r>
    </w:p>
    <w:p>
      <w:pPr>
        <w:numPr>
          <w:ilvl w:val="0"/>
          <w:numId w:val="1016"/>
        </w:numPr>
        <w:pStyle w:val="Compact"/>
      </w:pPr>
      <w:r>
        <w:rPr>
          <w:bCs/>
          <w:b/>
        </w:rPr>
        <w:t xml:space="preserve">Manufacturing/Production (Scope 2):</w:t>
      </w:r>
      <w:r>
        <w:t xml:space="preserve"> </w:t>
      </w:r>
      <w:r>
        <w:t xml:space="preserve">Emissions from purchased electricity during manufacturing contribute 1.20 kg CO2e (approx. 4.8%), reflecting the importance of renewable energy integration at production facilities.</w:t>
      </w:r>
    </w:p>
    <w:p>
      <w:pPr>
        <w:numPr>
          <w:ilvl w:val="0"/>
          <w:numId w:val="1016"/>
        </w:numPr>
        <w:pStyle w:val="Compact"/>
      </w:pPr>
      <w:r>
        <w:rPr>
          <w:bCs/>
          <w:b/>
        </w:rPr>
        <w:t xml:space="preserve">Transportation &amp; Distribution:</w:t>
      </w:r>
      <w:r>
        <w:t xml:space="preserve"> </w:t>
      </w:r>
      <w:r>
        <w:t xml:space="preserve">Both upstream and downstream transportation together contribute 0.484 kg CO2e (approx. 1.9%). While smaller than other phases, optimizing logistics remains valuable.</w:t>
      </w:r>
    </w:p>
    <w:p>
      <w:pPr>
        <w:numPr>
          <w:ilvl w:val="0"/>
          <w:numId w:val="1016"/>
        </w:numPr>
        <w:pStyle w:val="Compact"/>
      </w:pPr>
      <w:r>
        <w:rPr>
          <w:bCs/>
          <w:b/>
        </w:rPr>
        <w:t xml:space="preserve">End-of-Life Treatment:</w:t>
      </w:r>
      <w:r>
        <w:t xml:space="preserve"> </w:t>
      </w:r>
      <w:r>
        <w:t xml:space="preserve">The established circular/take-back programs and high recyclability result in a net negative emission (-0.237 kg CO2e), indicating an environmental benefit from effective recycling and reduced landfilling. This demonstrates the positive impact of circular economy initiatives.</w:t>
      </w:r>
    </w:p>
    <w:p>
      <w:pPr>
        <w:pStyle w:val="FirstParagraph"/>
      </w:pPr>
      <w:r>
        <w:rPr>
          <w:bCs/>
          <w:b/>
        </w:rPr>
        <w:t xml:space="preserve">Reliability Statement:</w:t>
      </w:r>
      <w:r>
        <w:t xml:space="preserve"> </w:t>
      </w:r>
      <w:r>
        <w:t xml:space="preserve">This report is based on a combination of simulated, illustrative data for placeholder parameters and industry-standard emission factors. For precise reporting, primary data for all material inputs, transport specifics (actual modes, distances, load factors), and facility-specific energy mixes would be required. The high Scope 3 coverage (as detailed in the calculations) aligns with 2026 GHG Protocol requirements, striving for comprehensive value chain accounting.</w:t>
      </w:r>
    </w:p>
    <w:bookmarkEnd w:id="38"/>
    <w:bookmarkStart w:id="39" w:name="ghg-protocol-compliance-summary"/>
    <w:p>
      <w:pPr>
        <w:pStyle w:val="Heading3"/>
      </w:pPr>
      <w:r>
        <w:t xml:space="preserve">5.3. GHG Protocol Compliance Summary</w:t>
      </w:r>
    </w:p>
    <w:p>
      <w:pPr>
        <w:numPr>
          <w:ilvl w:val="0"/>
          <w:numId w:val="1017"/>
        </w:numPr>
        <w:pStyle w:val="Compact"/>
      </w:pPr>
      <w:r>
        <w:rPr>
          <w:bCs/>
          <w:b/>
        </w:rPr>
        <w:t xml:space="preserve">GHG Protocol Accounting Standard:</w:t>
      </w:r>
      <w:r>
        <w:t xml:space="preserve"> </w:t>
      </w:r>
      <w:r>
        <w:t xml:space="preserve">Explicitly followed for categorization of emissions.</w:t>
      </w:r>
    </w:p>
    <w:p>
      <w:pPr>
        <w:numPr>
          <w:ilvl w:val="0"/>
          <w:numId w:val="1017"/>
        </w:numPr>
        <w:pStyle w:val="Compact"/>
      </w:pPr>
      <w:r>
        <w:rPr>
          <w:bCs/>
          <w:b/>
        </w:rPr>
        <w:t xml:space="preserve">Scope 1, 2, and 3 Categorization:</w:t>
      </w:r>
      <w:r>
        <w:t xml:space="preserve"> </w:t>
      </w:r>
      <w:r>
        <w:t xml:space="preserve">All relevant emissions are clearly assigned to their respective scopes. Direct operational emissions (Scope 1) were not explicitly identified for this product\'s PCF beyond the indirect emissions from purchased electricity in manufacturing (Scope 2).</w:t>
      </w:r>
    </w:p>
    <w:p>
      <w:pPr>
        <w:numPr>
          <w:ilvl w:val="0"/>
          <w:numId w:val="1017"/>
        </w:numPr>
        <w:pStyle w:val="Compact"/>
      </w:pPr>
      <w:r>
        <w:rPr>
          <w:bCs/>
          <w:b/>
        </w:rPr>
        <w:t xml:space="preserve">2026 LSR Update:</w:t>
      </w:r>
      <w:r>
        <w:t xml:space="preserve"> </w:t>
      </w:r>
      <w:r>
        <w:t xml:space="preserve">The Land Sector and Removals Standard, while primarily effective from January 1, 2027, has been acknowledged. Its applicability to future corporate inventories for land-related emissions and removals is noted. For this product PCF, direct land use impacts were not a significant factor.</w:t>
      </w:r>
    </w:p>
    <w:p>
      <w:pPr>
        <w:numPr>
          <w:ilvl w:val="0"/>
          <w:numId w:val="1017"/>
        </w:numPr>
        <w:pStyle w:val="Compact"/>
      </w:pPr>
      <w:r>
        <w:rPr>
          <w:bCs/>
          <w:b/>
        </w:rPr>
        <w:t xml:space="preserve">Scope 3 Compliance (95% Coverage):</w:t>
      </w:r>
      <w:r>
        <w:t xml:space="preserve"> </w:t>
      </w:r>
      <w:r>
        <w:t xml:space="preserve">This analysis has aimed for comprehensive coverage of all significant Scope 3 categories as outlined in the GHG Protocol, including Purchased Goods and Services, Transportation &amp; Distribution, Use of Sold Products, and End-of-Life Treatment. All major identified sources are included, working towards the 95% completeness rule for conformance in 2026 reporting.</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vykiqnlwfd</dc:title>
  <dc:creator/>
  <dc:description>Detailed Product Carbon Footprint (PCF) analysis report for vykiqnlwfd by yptjxinipx, adhering to GHG Protocol and 2026 updates.</dc:description>
  <dc:language>en</dc:language>
  <cp:keywords/>
  <dcterms:created xsi:type="dcterms:W3CDTF">2026-06-17T09:06:19Z</dcterms:created>
  <dcterms:modified xsi:type="dcterms:W3CDTF">2026-06-17T09:06:19Z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