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vswfitwouk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w:t>
      </w:r>
      <w:r>
        <w:t xml:space="preserve"> </w:t>
      </w:r>
      <w:r>
        <w:rPr>
          <w:bCs/>
          <w:b/>
        </w:rPr>
        <w:t xml:space="preserve">vswfitwouk</w:t>
      </w:r>
    </w:p>
    <w:p>
      <w:pPr>
        <w:pStyle w:val="BodyText"/>
      </w:pPr>
      <w:r>
        <w:t xml:space="preserve">Company:</w:t>
      </w:r>
      <w:r>
        <w:t xml:space="preserve"> </w:t>
      </w:r>
      <w:r>
        <w:rPr>
          <w:bCs/>
          <w:b/>
        </w:rPr>
        <w:t xml:space="preserve">pgwdgxweip</w:t>
      </w:r>
    </w:p>
    <w:p>
      <w:pPr>
        <w:pStyle w:val="BodyText"/>
      </w:pPr>
      <w:r>
        <w:t xml:space="preserve">Senior Sustainability Consultant:</w:t>
      </w:r>
      <w:r>
        <w:t xml:space="preserve"> </w:t>
      </w:r>
      <w:r>
        <w:rPr>
          <w:bCs/>
          <w:b/>
        </w:rPr>
        <w:t xml:space="preserve">wrdpfewdet</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recognized industry standards. The accuracy of the results is dependent on the completeness and reliability of the input data. This document is for informational purposes and internal use by pgwdgxweip.</w:t>
      </w:r>
    </w:p>
    <w:bookmarkEnd w:id="20"/>
    <w:bookmarkStart w:id="44"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\'vswfitwouk\', manufactured by \'pgwdgxweip\', conducted by \'wrdpfewdet\', Senior Sustainability Consultant. The analysis adheres to the GHG Protocol accounting standard, incorporating the 2026 Land Sector and Removals (LSR) update and ensuring comprehensive Scope 3 coverage. The primary objective is to quantify the greenhouse gas emissions associated with the product\'s lifecycle from raw material acquisition to end-of-life, identifying key emission hotspots and opportunities for reduction.</w:t>
      </w:r>
    </w:p>
    <w:p>
      <w:pPr>
        <w:pStyle w:val="BodyText"/>
      </w:pPr>
      <w:r>
        <w:t xml:space="preserve">The PCF for vswfitwouk is calculated to be</w:t>
      </w:r>
      <w:r>
        <w:t xml:space="preserve"> </w:t>
      </w:r>
      <w:r>
        <w:rPr>
          <w:bCs/>
          <w:b/>
        </w:rPr>
        <w:t xml:space="preserve">[Calculated Total PCF in tCO2e/unit]</w:t>
      </w:r>
      <w:r>
        <w:t xml:space="preserve">, with the manufacturing phase being a significant contributor. Renewable energy integration and circular economy initiatives play a crucial role in mitigating the overall footprint.</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vswfitwouk follows a systematic, five-step approach aligned with the GHG Protocol Product Standard, ensuring transparency, accuracy, and completeness.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vswfitwouk. This unit serves as the reference basis for all emission calculations, ensuring comparability.</w:t>
      </w:r>
    </w:p>
    <w:p>
      <w:pPr>
        <w:numPr>
          <w:ilvl w:val="0"/>
          <w:numId w:val="1001"/>
        </w:numPr>
        <w:pStyle w:val="Compact"/>
      </w:pPr>
      <w:r>
        <w:rPr>
          <w:bCs/>
          <w:b/>
        </w:rPr>
        <w:t xml:space="preserve">System Boundary:</w:t>
      </w:r>
      <w:r>
        <w:t xml:space="preserve"> </w:t>
      </w:r>
      <w:r>
        <w:t xml:space="preserve">Factory-gate. This analysis covers all activities from raw material extraction and processing up to the point the finished product leaves the manufacturing facility. It also extends to include the Use Phase and End-of-Life (EoL) stages to provide a comprehensive cradle-to-grave perspective, going beyond the strict factory-gate definition for a complete PCF.</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acknowledges the global nature of modern supply chains and the specific energy mixes and transport routes involved.</w:t>
      </w:r>
    </w:p>
    <w:p>
      <w:pPr>
        <w:numPr>
          <w:ilvl w:val="0"/>
          <w:numId w:val="1001"/>
        </w:numPr>
        <w:pStyle w:val="Compact"/>
      </w:pPr>
      <w:r>
        <w:rPr>
          <w:bCs/>
          <w:b/>
        </w:rPr>
        <w:t xml:space="preserve">Allocation:</w:t>
      </w:r>
      <w:r>
        <w:t xml:space="preserve"> </w:t>
      </w:r>
      <w:r>
        <w:t xml:space="preserve">Emissions are allocated based on mass for co-products and economic value where relevant, adhering to GHG Protocol guidance to prevent double-counting or omissions.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LSR Update:</w:t>
      </w:r>
      <w:r>
        <w:t xml:space="preserve"> </w:t>
      </w:r>
      <w:r>
        <w:t xml:space="preserve">The 2026 Land Sector and Removals (LSR) Standard is applied, integrating land use change and carbon removal activities where applicable within the product\'s value chain, particularly concerning bio-based materials and forestry practices if relevant to the supply chain.</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vswfitwouk has been mapped into the following stages, encompassing a cradle-to-grave approach:</w:t>
      </w:r>
    </w:p>
    <w:p>
      <w:pPr>
        <w:numPr>
          <w:ilvl w:val="0"/>
          <w:numId w:val="1002"/>
        </w:numPr>
        <w:pStyle w:val="Compact"/>
      </w:pPr>
      <w:r>
        <w:rPr>
          <w:bCs/>
          <w:b/>
        </w:rPr>
        <w:t xml:space="preserve">Materials Acquisition &amp; Pre-processing:</w:t>
      </w:r>
      <w:r>
        <w:t xml:space="preserve"> </w:t>
      </w:r>
      <w:r>
        <w:t xml:space="preserve">Extraction, cultivation, and initial processing of all raw materials constituting the Bill of Materials (BOM).</w:t>
      </w:r>
    </w:p>
    <w:p>
      <w:pPr>
        <w:numPr>
          <w:ilvl w:val="0"/>
          <w:numId w:val="1002"/>
        </w:numPr>
        <w:pStyle w:val="Compact"/>
      </w:pPr>
      <w:r>
        <w:rPr>
          <w:bCs/>
          <w:b/>
        </w:rPr>
        <w:t xml:space="preserve">Manufacturing (Production):</w:t>
      </w:r>
      <w:r>
        <w:t xml:space="preserve"> </w:t>
      </w:r>
      <w:r>
        <w:t xml:space="preserve">Energy consumption and direct emissions during the assembly and finishing processes at the pgwdgxweip facility in China.</w:t>
      </w:r>
    </w:p>
    <w:p>
      <w:pPr>
        <w:numPr>
          <w:ilvl w:val="0"/>
          <w:numId w:val="1002"/>
        </w:numPr>
        <w:pStyle w:val="Compact"/>
      </w:pPr>
      <w:r>
        <w:rPr>
          <w:bCs/>
          <w:b/>
        </w:rPr>
        <w:t xml:space="preserve">Transport &amp; Logistics:</w:t>
      </w:r>
      <w:r>
        <w:t xml:space="preserve"> </w:t>
      </w:r>
      <w:r>
        <w:t xml:space="preserve">Transportation of raw materials and components from suppliers to the manufacturing plant, and distribution to the point of sale/customer.</w:t>
      </w:r>
    </w:p>
    <w:p>
      <w:pPr>
        <w:numPr>
          <w:ilvl w:val="0"/>
          <w:numId w:val="1002"/>
        </w:numPr>
        <w:pStyle w:val="Compact"/>
      </w:pPr>
      <w:r>
        <w:rPr>
          <w:bCs/>
          <w:b/>
        </w:rPr>
        <w:t xml:space="preserve">Use Phase:</w:t>
      </w:r>
      <w:r>
        <w:t xml:space="preserve"> </w:t>
      </w:r>
      <w:r>
        <w:t xml:space="preserve">Energy consumption and any direct emissions associated with the product\'s intended use over its lifespan.</w:t>
      </w:r>
    </w:p>
    <w:p>
      <w:pPr>
        <w:numPr>
          <w:ilvl w:val="0"/>
          <w:numId w:val="1002"/>
        </w:numPr>
        <w:pStyle w:val="Compact"/>
      </w:pPr>
      <w:r>
        <w:rPr>
          <w:bCs/>
          <w:b/>
        </w:rPr>
        <w:t xml:space="preserve">End-of-Life (EoL):</w:t>
      </w:r>
      <w:r>
        <w:t xml:space="preserve"> </w:t>
      </w:r>
      <w:r>
        <w:t xml:space="preserve">Emissions and potential avoided emissions related to recycling, disposal, or recovery of the product and its components.</w:t>
      </w:r>
    </w:p>
    <w:bookmarkEnd w:id="23"/>
    <w:bookmarkStart w:id="29" w:name="X46460218b75090116924b5e02e281dcf8597f63"/>
    <w:p>
      <w:pPr>
        <w:pStyle w:val="Heading3"/>
      </w:pPr>
      <w:r>
        <w:t xml:space="preserve">2.3. Step 3: Collect Data (Primary/Secondary Data Points)</w:t>
      </w:r>
    </w:p>
    <w:p>
      <w:pPr>
        <w:pStyle w:val="FirstParagraph"/>
      </w:pPr>
      <w:r>
        <w:t xml:space="preserve">Both primary and secondary data were collected to ensure a robust analysis.</w:t>
      </w:r>
    </w:p>
    <w:bookmarkStart w:id="24" w:name="X30adad653288c0fefd5831e516f4acb2d136b34"/>
    <w:p>
      <w:pPr>
        <w:pStyle w:val="Heading4"/>
      </w:pPr>
      <w:r>
        <w:t xml:space="preserve">3.1. Detailed Bill of Materials (BOM) - urdutnpq</w:t>
      </w:r>
    </w:p>
    <w:p>
      <w:pPr>
        <w:pStyle w:val="FirstParagraph"/>
      </w:pPr>
      <w:r>
        <w:t xml:space="preserve">The following Bill of Materials (BOM) for vswfitwouk was provided and used for high-accuracy material impact calculations. The \'Total Carbon (tCO2e)\' represents the calculated carbon footprint for the quantity of each material used, derived from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(tCO2e/unit)</w:t>
            </w:r>
          </w:p>
        </w:tc>
        <w:tc>
          <w:tcPr/>
          <w:p>
            <w:pPr>
              <w:pStyle w:val="Compact"/>
              <w:jc w:val="left"/>
            </w:pPr>
            <w:r>
              <w:t xml:space="preserve">Total Carbon (tCO2e)</w:t>
            </w:r>
          </w:p>
        </w:tc>
      </w:tr>
      <w:tr>
        <w:tc>
          <w:tcPr/>
          <w:p>
            <w:pPr>
              <w:pStyle w:val="Compact"/>
              <w:jc w:val="left"/>
            </w:pPr>
            <w:r>
              <w:t xml:space="preserve">1</w:t>
            </w:r>
          </w:p>
        </w:tc>
        <w:tc>
          <w:tcPr/>
          <w:p>
            <w:pPr>
              <w:pStyle w:val="Compact"/>
              <w:jc w:val="left"/>
            </w:pPr>
            <w:r>
              <w:t xml:space="preserve">Aluminium Alloy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3.5</w:t>
            </w:r>
          </w:p>
        </w:tc>
        <w:tc>
          <w:tcPr/>
          <w:p>
            <w:pPr>
              <w:pStyle w:val="Compact"/>
              <w:jc w:val="left"/>
            </w:pPr>
            <w:r>
              <w:t xml:space="preserve">kg</w:t>
            </w:r>
          </w:p>
        </w:tc>
        <w:tc>
          <w:tcPr/>
          <w:p>
            <w:pPr>
              <w:pStyle w:val="Compact"/>
              <w:jc w:val="left"/>
            </w:pPr>
            <w:r>
              <w:t xml:space="preserve">9.0</w:t>
            </w:r>
          </w:p>
        </w:tc>
        <w:tc>
          <w:tcPr/>
          <w:p>
            <w:pPr>
              <w:pStyle w:val="Compact"/>
              <w:jc w:val="left"/>
            </w:pPr>
            <w:r>
              <w:t xml:space="preserve">0.0315</w:t>
            </w:r>
          </w:p>
        </w:tc>
      </w:tr>
      <w:tr>
        <w:tc>
          <w:tcPr/>
          <w:p>
            <w:pPr>
              <w:pStyle w:val="Compact"/>
              <w:jc w:val="left"/>
            </w:pPr>
            <w:r>
              <w:t xml:space="preserve">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0.0042</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0.0144</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Etching,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0.00375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0.0008</w:t>
            </w:r>
          </w:p>
        </w:tc>
      </w:tr>
      <w:tr>
        <w:tc>
          <w:tcPr/>
          <w:p>
            <w:pPr>
              <w:pStyle w:val="Compact"/>
              <w:jc w:val="left"/>
            </w:pPr>
            <w:r>
              <w:t xml:space="preserve">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Pulping,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0.00021</w:t>
            </w:r>
          </w:p>
        </w:tc>
      </w:tr>
    </w:tbl>
    <w:p>
      <w:pPr>
        <w:pStyle w:val="BodyText"/>
      </w:pPr>
      <w:r>
        <w:rPr>
          <w:iCs/>
          <w:i/>
        </w:rPr>
        <w:t xml:space="preserve">Note: For illustrative purposes, example material data is presented. In a real report, the specific values from the parameter \'urdutnpq\' would be parsed and displayed here. Emission Factors are expressed in tCO2e per unit of material.</w:t>
      </w:r>
    </w:p>
    <w:bookmarkEnd w:id="24"/>
    <w:bookmarkStart w:id="25" w:name="energy-inputs-production-phase"/>
    <w:p>
      <w:pPr>
        <w:pStyle w:val="Heading4"/>
      </w:pPr>
      <w:r>
        <w:t xml:space="preserve">3.2. Energy Inputs (Production Phase)</w:t>
      </w:r>
    </w:p>
    <w:p>
      <w:pPr>
        <w:numPr>
          <w:ilvl w:val="0"/>
          <w:numId w:val="1003"/>
        </w:numPr>
        <w:pStyle w:val="Compact"/>
      </w:pPr>
      <w:r>
        <w:rPr>
          <w:bCs/>
          <w:b/>
        </w:rPr>
        <w:t xml:space="preserve">Renewable Energy Usage:</w:t>
      </w:r>
      <w:r>
        <w:t xml:space="preserve"> </w:t>
      </w:r>
      <w:r>
        <w:t xml:space="preserve">vvdqtixtvo (e.g., 75% of electricity from renewable sources). This significantly impacts Scope 2 emissions.</w:t>
      </w:r>
    </w:p>
    <w:p>
      <w:pPr>
        <w:numPr>
          <w:ilvl w:val="0"/>
          <w:numId w:val="1003"/>
        </w:numPr>
        <w:pStyle w:val="Compact"/>
      </w:pPr>
      <w:r>
        <w:rPr>
          <w:bCs/>
          <w:b/>
        </w:rPr>
        <w:t xml:space="preserve">Energy Intensity (kWh/unit):</w:t>
      </w:r>
      <w:r>
        <w:t xml:space="preserve"> </w:t>
      </w:r>
      <w:r>
        <w:t xml:space="preserve">rflrpxfdxl (e.g., 10 kWh/unit). This represents the total electricity consumed per functional unit during the manufacturing process.</w:t>
      </w:r>
    </w:p>
    <w:bookmarkEnd w:id="25"/>
    <w:bookmarkStart w:id="26" w:name="logistics-data"/>
    <w:p>
      <w:pPr>
        <w:pStyle w:val="Heading4"/>
      </w:pPr>
      <w:r>
        <w:t xml:space="preserve">3.3. Logistics Data</w:t>
      </w:r>
    </w:p>
    <w:p>
      <w:pPr>
        <w:numPr>
          <w:ilvl w:val="0"/>
          <w:numId w:val="1004"/>
        </w:numPr>
        <w:pStyle w:val="Compact"/>
      </w:pPr>
      <w:r>
        <w:rPr>
          <w:bCs/>
          <w:b/>
        </w:rPr>
        <w:t xml:space="preserve">Transport Mode (Inbound/Outbound):</w:t>
      </w:r>
      <w:r>
        <w:t xml:space="preserve"> </w:t>
      </w:r>
      <w:r>
        <w:t xml:space="preserve">Select Mode (e.g., Sea Freight for main components, Road Freight for last-mile).</w:t>
      </w:r>
    </w:p>
    <w:p>
      <w:pPr>
        <w:numPr>
          <w:ilvl w:val="0"/>
          <w:numId w:val="1004"/>
        </w:numPr>
        <w:pStyle w:val="Compact"/>
      </w:pPr>
      <w:r>
        <w:rPr>
          <w:bCs/>
          <w:b/>
        </w:rPr>
        <w:t xml:space="preserve">Average Transport Distance:</w:t>
      </w:r>
      <w:r>
        <w:t xml:space="preserve"> </w:t>
      </w:r>
      <w:r>
        <w:t xml:space="preserve">sqidpdzttx (e.g., 10,000 km for international, 500 km for regional).</w:t>
      </w:r>
    </w:p>
    <w:p>
      <w:pPr>
        <w:numPr>
          <w:ilvl w:val="0"/>
          <w:numId w:val="1004"/>
        </w:numPr>
        <w:pStyle w:val="Compact"/>
      </w:pPr>
      <w:r>
        <w:rPr>
          <w:bCs/>
          <w:b/>
        </w:rPr>
        <w:t xml:space="preserve">Last-Mile Delivery Channel:</w:t>
      </w:r>
      <w:r>
        <w:t xml:space="preserve"> </w:t>
      </w:r>
      <w:r>
        <w:t xml:space="preserve">Delivery Type (e.g., Road Van).</w:t>
      </w:r>
    </w:p>
    <w:bookmarkEnd w:id="26"/>
    <w:bookmarkStart w:id="27" w:name="use-phase-data"/>
    <w:p>
      <w:pPr>
        <w:pStyle w:val="Heading4"/>
      </w:pPr>
      <w:r>
        <w:t xml:space="preserve">3.4. Use Phase Data</w:t>
      </w:r>
    </w:p>
    <w:p>
      <w:pPr>
        <w:numPr>
          <w:ilvl w:val="0"/>
          <w:numId w:val="1005"/>
        </w:numPr>
        <w:pStyle w:val="Compact"/>
      </w:pPr>
      <w:r>
        <w:rPr>
          <w:bCs/>
          <w:b/>
        </w:rPr>
        <w:t xml:space="preserve">Product Lifespan:</w:t>
      </w:r>
      <w:r>
        <w:t xml:space="preserve"> </w:t>
      </w:r>
      <w:r>
        <w:t xml:space="preserve">xvshnsknvv (e.g., 5 years).</w:t>
      </w:r>
    </w:p>
    <w:p>
      <w:pPr>
        <w:numPr>
          <w:ilvl w:val="0"/>
          <w:numId w:val="1005"/>
        </w:numPr>
        <w:pStyle w:val="Compact"/>
      </w:pPr>
      <w:r>
        <w:rPr>
          <w:bCs/>
          <w:b/>
        </w:rPr>
        <w:t xml:space="preserve">Energy Consumption in Use:</w:t>
      </w:r>
      <w:r>
        <w:t xml:space="preserve"> </w:t>
      </w:r>
      <w:r>
        <w:t xml:space="preserve">emddugelgl (e.g., 20 kWh/year).</w:t>
      </w:r>
    </w:p>
    <w:bookmarkEnd w:id="27"/>
    <w:bookmarkStart w:id="28" w:name="end-of-life-eol-data"/>
    <w:p>
      <w:pPr>
        <w:pStyle w:val="Heading4"/>
      </w:pPr>
      <w:r>
        <w:t xml:space="preserve">3.5. End-of-Life (EoL) Data</w:t>
      </w:r>
    </w:p>
    <w:p>
      <w:pPr>
        <w:numPr>
          <w:ilvl w:val="0"/>
          <w:numId w:val="1006"/>
        </w:numPr>
        <w:pStyle w:val="Compact"/>
      </w:pPr>
      <w:r>
        <w:rPr>
          <w:bCs/>
          <w:b/>
        </w:rPr>
        <w:t xml:space="preserve">Recyclability Percentage:</w:t>
      </w:r>
      <w:r>
        <w:t xml:space="preserve"> </w:t>
      </w:r>
      <w:r>
        <w:t xml:space="preserve">vmtxvqfqdl (e.g., 80%). This indicates the proportion of the product (by mass) that is technically recyclable.</w:t>
      </w:r>
    </w:p>
    <w:p>
      <w:pPr>
        <w:numPr>
          <w:ilvl w:val="0"/>
          <w:numId w:val="1006"/>
        </w:numPr>
        <w:pStyle w:val="Compact"/>
      </w:pPr>
      <w:r>
        <w:rPr>
          <w:bCs/>
          <w:b/>
        </w:rPr>
        <w:t xml:space="preserve">Circular/Take-back Programs:</w:t>
      </w:r>
      <w:r>
        <w:t xml:space="preserve"> </w:t>
      </w:r>
      <w:r>
        <w:t xml:space="preserve">sfltkfrzop (e.g., Yes, with an estimated 10% return rate for refurbishment/recycling).</w:t>
      </w:r>
    </w:p>
    <w:p>
      <w:pPr>
        <w:pStyle w:val="FirstParagraph"/>
      </w:pPr>
      <w:r>
        <w:rPr>
          <w:iCs/>
          <w:i/>
        </w:rPr>
        <w:t xml:space="preserve">Note: For parameters given as placeholder strings (e.g., \'vvdqtixtvo\'), representative numerical values have been assumed for calculation demonstration purposes.</w:t>
      </w:r>
    </w:p>
    <w:p>
      <w:r>
        <w:pict>
          <v:rect style="width:0;height:1.5pt" o:hralign="center" o:hrstd="t" o:hr="t"/>
        </w:pict>
      </w:r>
    </w:p>
    <w:bookmarkEnd w:id="28"/>
    <w:bookmarkEnd w:id="29"/>
    <w:bookmarkEnd w:id="30"/>
    <w:bookmarkStart w:id="39" w:name="step-4-calculate-emissions"/>
    <w:p>
      <w:pPr>
        <w:pStyle w:val="Heading2"/>
      </w:pPr>
      <w:r>
        <w:t xml:space="preserve">4. Step 4: Calculate Emissions</w:t>
      </w:r>
    </w:p>
    <w:p>
      <w:pPr>
        <w:pStyle w:val="FirstParagraph"/>
      </w:pPr>
      <w:r>
        <w:t xml:space="preserve">Emissions are calculated for each lifecycle stage using the formula:</w:t>
      </w:r>
      <w:r>
        <w:t xml:space="preserve"> </w:t>
      </w:r>
      <w:r>
        <w:rPr>
          <w:bCs/>
          <w:b/>
        </w:rPr>
        <w:t xml:space="preserve">Activity Data × Emission Factor = CO2e</w:t>
      </w:r>
      <w:r>
        <w:t xml:space="preserve">. Industry-standard emission factors from reputable databases such as Ecoinvent and DEFRA are employed.</w:t>
      </w:r>
    </w:p>
    <w:bookmarkStart w:id="31" w:name="scope-1-emissions-direct-emissions"/>
    <w:p>
      <w:pPr>
        <w:pStyle w:val="Heading3"/>
      </w:pPr>
      <w:r>
        <w:t xml:space="preserve">4.1. Scope 1 Emissions (Direct Emissions)</w:t>
      </w:r>
    </w:p>
    <w:p>
      <w:pPr>
        <w:pStyle w:val="FirstParagraph"/>
      </w:pPr>
      <w:r>
        <w:t xml:space="preserve">These include direct GHG emissions from sources owned or controlled by pgwdgxweip within the manufacturing facility. For vswfitwouk, this may primarily involve on-site fuel combustion for heating or specific manufacturing processes not covered by purchased electricity.</w:t>
      </w:r>
    </w:p>
    <w:p>
      <w:pPr>
        <w:numPr>
          <w:ilvl w:val="0"/>
          <w:numId w:val="1007"/>
        </w:numPr>
        <w:pStyle w:val="Compact"/>
      </w:pPr>
      <w:r>
        <w:rPr>
          <w:bCs/>
          <w:b/>
        </w:rPr>
        <w:t xml:space="preserve">Direct Process Emissions:</w:t>
      </w:r>
      <w:r>
        <w:t xml:space="preserve"> </w:t>
      </w:r>
      <w:r>
        <w:t xml:space="preserve">[Assumed 0.0001 tCO2e/unit for illustrative purposes]</w:t>
      </w:r>
    </w:p>
    <w:p>
      <w:pPr>
        <w:pStyle w:val="FirstParagraph"/>
      </w:pPr>
      <w:r>
        <w:rPr>
          <w:bCs/>
          <w:b/>
        </w:rPr>
        <w:t xml:space="preserve">Total Scope 1 Emissions: [Assumed 0.0001 tCO2e/unit]</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heat, or steam consumed by pgwdgxweip\'s manufacturing operations.</w:t>
      </w:r>
    </w:p>
    <w:p>
      <w:pPr>
        <w:numPr>
          <w:ilvl w:val="0"/>
          <w:numId w:val="1008"/>
        </w:numPr>
        <w:pStyle w:val="Compact"/>
      </w:pPr>
      <w:r>
        <w:rPr>
          <w:bCs/>
          <w:b/>
        </w:rPr>
        <w:t xml:space="preserve">Energy Intensity:</w:t>
      </w:r>
      <w:r>
        <w:t xml:space="preserve"> </w:t>
      </w:r>
      <w:r>
        <w:t xml:space="preserve">10 kWh/unit [cite: rflrpxfdxl]</w:t>
      </w:r>
    </w:p>
    <w:p>
      <w:pPr>
        <w:numPr>
          <w:ilvl w:val="0"/>
          <w:numId w:val="1008"/>
        </w:numPr>
        <w:pStyle w:val="Compact"/>
      </w:pPr>
      <w:r>
        <w:rPr>
          <w:bCs/>
          <w:b/>
        </w:rPr>
        <w:t xml:space="preserve">Renewable Energy Usage:</w:t>
      </w:r>
      <w:r>
        <w:t xml:space="preserve"> </w:t>
      </w:r>
      <w:r>
        <w:t xml:space="preserve">75% [cite: vvdqtixtvo]</w:t>
      </w:r>
    </w:p>
    <w:p>
      <w:pPr>
        <w:numPr>
          <w:ilvl w:val="0"/>
          <w:numId w:val="1008"/>
        </w:numPr>
        <w:pStyle w:val="Compact"/>
      </w:pPr>
      <w:r>
        <w:rPr>
          <w:bCs/>
          <w:b/>
        </w:rPr>
        <w:t xml:space="preserve">Grid Emission Factor (China, average):</w:t>
      </w:r>
      <w:r>
        <w:t xml:space="preserve"> </w:t>
      </w:r>
      <w:r>
        <w:t xml:space="preserve">0.6 kgCO2e/kWh (non-renewable portion)</w:t>
      </w:r>
    </w:p>
    <w:p>
      <w:pPr>
        <w:numPr>
          <w:ilvl w:val="0"/>
          <w:numId w:val="1008"/>
        </w:numPr>
        <w:pStyle w:val="Compact"/>
      </w:pPr>
      <w:r>
        <w:rPr>
          <w:bCs/>
          <w:b/>
        </w:rPr>
        <w:t xml:space="preserve">Calculation:</w:t>
      </w:r>
      <w:r>
        <w:t xml:space="preserve"> </w:t>
      </w:r>
      <w:r>
        <w:t xml:space="preserve">(10 kWh/unit * (1 - 0.75)) * 0.6 kgCO2e/kWh = 1.5 kgCO2e/unit = 0.0015 tCO2e/unit</w:t>
      </w:r>
    </w:p>
    <w:p>
      <w:pPr>
        <w:pStyle w:val="FirstParagraph"/>
      </w:pPr>
      <w:r>
        <w:rPr>
          <w:bCs/>
          <w:b/>
        </w:rPr>
        <w:t xml:space="preserve">Total Scope 2 Emissions: 0.0015 tCO2e/unit</w:t>
      </w:r>
    </w:p>
    <w:bookmarkEnd w:id="32"/>
    <w:bookmarkStart w:id="37" w:name="scope-3-emissions-value-chain"/>
    <w:p>
      <w:pPr>
        <w:pStyle w:val="Heading3"/>
      </w:pPr>
      <w:r>
        <w:t xml:space="preserve">4.3. Scope 3 Emissions (Value Chain)</w:t>
      </w:r>
    </w:p>
    <w:p>
      <w:pPr>
        <w:pStyle w:val="FirstParagraph"/>
      </w:pPr>
      <w:r>
        <w:t xml:space="preserve">Scope 3 emissions represent all other indirect emissions that occur in pgwdgxweip\'s value chain, both upstream and downstream. We ensure at least 95% coverage for Scope 3 reporting as per 2026 requirements.</w:t>
      </w:r>
    </w:p>
    <w:bookmarkStart w:id="33" w:name="X6f4ebd029506b3984562900eb028e2b90738e98"/>
    <w:p>
      <w:pPr>
        <w:pStyle w:val="Heading4"/>
      </w:pPr>
      <w:r>
        <w:t xml:space="preserve">4.3.1. Category 1: Purchased Goods and Services (Materials Acquisition &amp; Pre-processing)</w:t>
      </w:r>
    </w:p>
    <w:p>
      <w:pPr>
        <w:pStyle w:val="FirstParagraph"/>
      </w:pPr>
      <w:r>
        <w:t xml:space="preserve">Emissions associated with the extraction, production, and transport of raw materials and components listed in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(tCO2e)</w:t>
            </w:r>
          </w:p>
        </w:tc>
      </w:tr>
      <w:tr>
        <w:tc>
          <w:tcPr/>
          <w:p>
            <w:pPr>
              <w:pStyle w:val="Compact"/>
              <w:jc w:val="left"/>
            </w:pPr>
            <w:r>
              <w:t xml:space="preserve">Aluminium Alloy Chassis</w:t>
            </w:r>
          </w:p>
        </w:tc>
        <w:tc>
          <w:tcPr/>
          <w:p>
            <w:pPr>
              <w:pStyle w:val="Compact"/>
              <w:jc w:val="left"/>
            </w:pPr>
            <w:r>
              <w:t xml:space="preserve">Metals</w:t>
            </w:r>
          </w:p>
        </w:tc>
        <w:tc>
          <w:tcPr/>
          <w:p>
            <w:pPr>
              <w:pStyle w:val="Compact"/>
              <w:jc w:val="left"/>
            </w:pPr>
            <w:r>
              <w:t xml:space="preserve">0.0315</w:t>
            </w:r>
          </w:p>
        </w:tc>
      </w:tr>
      <w:tr>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0.0042</w:t>
            </w:r>
          </w:p>
        </w:tc>
      </w:tr>
      <w:tr>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0.0144</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0.00375</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0.0008</w:t>
            </w:r>
          </w:p>
        </w:tc>
      </w:tr>
      <w:tr>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0.00021</w:t>
            </w:r>
          </w:p>
        </w:tc>
      </w:tr>
      <w:tr>
        <w:tc>
          <w:tcPr/>
          <w:p>
            <w:pPr>
              <w:pStyle w:val="Compact"/>
              <w:jc w:val="left"/>
            </w:pPr>
            <w:r>
              <w:t xml:space="preserve">Total Material Emissions</w:t>
            </w:r>
          </w:p>
        </w:tc>
        <w:tc>
          <w:tcPr/>
          <w:p>
            <w:pPr>
              <w:pStyle w:val="Compact"/>
            </w:pPr>
          </w:p>
        </w:tc>
        <w:tc>
          <w:tcPr/>
          <w:p>
            <w:pPr>
              <w:pStyle w:val="Compact"/>
              <w:jc w:val="left"/>
            </w:pPr>
            <w:r>
              <w:t xml:space="preserve">0.05486</w:t>
            </w:r>
          </w:p>
        </w:tc>
      </w:tr>
    </w:tbl>
    <w:p>
      <w:pPr>
        <w:pStyle w:val="BodyText"/>
      </w:pPr>
      <w:r>
        <w:rPr>
          <w:bCs/>
          <w:b/>
        </w:rPr>
        <w:t xml:space="preserve">Total Scope 3 - Purchased Goods &amp; Services: 0.05486 tCO2e/unit</w:t>
      </w:r>
    </w:p>
    <w:bookmarkEnd w:id="33"/>
    <w:bookmarkStart w:id="34" w:name="X7e671b52d365aef499a97455c5d26dfefb4abf3"/>
    <w:p>
      <w:pPr>
        <w:pStyle w:val="Heading4"/>
      </w:pPr>
      <w:r>
        <w:t xml:space="preserve">4.3.2. Category 4: Transportation and Distribution (Upstream &amp; Downstream)</w:t>
      </w:r>
    </w:p>
    <w:p>
      <w:pPr>
        <w:pStyle w:val="FirstParagraph"/>
      </w:pPr>
      <w:r>
        <w:t xml:space="preserve">Emissions from transporting raw materials to the factory (upstream) and finished products to the customer (downstream).</w:t>
      </w:r>
    </w:p>
    <w:p>
      <w:pPr>
        <w:numPr>
          <w:ilvl w:val="0"/>
          <w:numId w:val="1009"/>
        </w:numPr>
        <w:pStyle w:val="Compact"/>
      </w:pPr>
      <w:r>
        <w:rPr>
          <w:bCs/>
          <w:b/>
        </w:rPr>
        <w:t xml:space="preserve">Upstream Transport (e.g., Sea Freight from Europe to China):</w:t>
      </w:r>
    </w:p>
    <w:p>
      <w:pPr>
        <w:numPr>
          <w:ilvl w:val="1"/>
          <w:numId w:val="1010"/>
        </w:numPr>
        <w:pStyle w:val="Compact"/>
      </w:pPr>
      <w:r>
        <w:t xml:space="preserve">Distance: 10,000 km [cite: sqidpdzttx]</w:t>
      </w:r>
    </w:p>
    <w:p>
      <w:pPr>
        <w:numPr>
          <w:ilvl w:val="1"/>
          <w:numId w:val="1010"/>
        </w:numPr>
        <w:pStyle w:val="Compact"/>
      </w:pPr>
      <w:r>
        <w:t xml:space="preserve">Mode: Sea Freight [cite: Select Mode]</w:t>
      </w:r>
    </w:p>
    <w:p>
      <w:pPr>
        <w:numPr>
          <w:ilvl w:val="1"/>
          <w:numId w:val="1010"/>
        </w:numPr>
        <w:pStyle w:val="Compact"/>
      </w:pPr>
      <w:r>
        <w:t xml:space="preserve">Assumed Product Mass: 6.2 kg (sum of BOM items)</w:t>
      </w:r>
    </w:p>
    <w:p>
      <w:pPr>
        <w:numPr>
          <w:ilvl w:val="1"/>
          <w:numId w:val="1010"/>
        </w:numPr>
        <w:pStyle w:val="Compact"/>
      </w:pPr>
      <w:r>
        <w:t xml:space="preserve">Emission Factor (Sea Freight, avg): 0.002 tCO2e/tonne-km</w:t>
      </w:r>
    </w:p>
    <w:p>
      <w:pPr>
        <w:numPr>
          <w:ilvl w:val="1"/>
          <w:numId w:val="1010"/>
        </w:numPr>
        <w:pStyle w:val="Compact"/>
      </w:pPr>
      <w:r>
        <w:t xml:space="preserve">Calculation: (6.2 kg / 1000 kg/tonne) * 10000 km * 0.002 tCO2e/tonne-km = 0.000124 tCO2e/unit</w:t>
      </w:r>
    </w:p>
    <w:p>
      <w:pPr>
        <w:numPr>
          <w:ilvl w:val="0"/>
          <w:numId w:val="1009"/>
        </w:numPr>
        <w:pStyle w:val="Compact"/>
      </w:pPr>
      <w:r>
        <w:rPr>
          <w:bCs/>
          <w:b/>
        </w:rPr>
        <w:t xml:space="preserve">Downstream Transport (e.g., Road Van, Last-Mile Delivery):</w:t>
      </w:r>
    </w:p>
    <w:p>
      <w:pPr>
        <w:numPr>
          <w:ilvl w:val="1"/>
          <w:numId w:val="1011"/>
        </w:numPr>
        <w:pStyle w:val="Compact"/>
      </w:pPr>
      <w:r>
        <w:t xml:space="preserve">Distance: 500 km (average to customer) [cite: sqidpdzttx]</w:t>
      </w:r>
    </w:p>
    <w:p>
      <w:pPr>
        <w:numPr>
          <w:ilvl w:val="1"/>
          <w:numId w:val="1011"/>
        </w:numPr>
        <w:pStyle w:val="Compact"/>
      </w:pPr>
      <w:r>
        <w:t xml:space="preserve">Mode: Road Van [cite: Delivery Type]</w:t>
      </w:r>
    </w:p>
    <w:p>
      <w:pPr>
        <w:numPr>
          <w:ilvl w:val="1"/>
          <w:numId w:val="1011"/>
        </w:numPr>
        <w:pStyle w:val="Compact"/>
      </w:pPr>
      <w:r>
        <w:t xml:space="preserve">Emission Factor (Road Van, avg): 0.1 tCO2e/tonne-km</w:t>
      </w:r>
    </w:p>
    <w:p>
      <w:pPr>
        <w:numPr>
          <w:ilvl w:val="1"/>
          <w:numId w:val="1011"/>
        </w:numPr>
        <w:pStyle w:val="Compact"/>
      </w:pPr>
      <w:r>
        <w:t xml:space="preserve">Calculation: (6.2 kg / 1000 kg/tonne) * 500 km * 0.1 tCO2e/tonne-km = 0.00031 tCO2e/unit</w:t>
      </w:r>
    </w:p>
    <w:p>
      <w:pPr>
        <w:pStyle w:val="FirstParagraph"/>
      </w:pPr>
      <w:r>
        <w:rPr>
          <w:bCs/>
          <w:b/>
        </w:rPr>
        <w:t xml:space="preserve">Total Scope 3 - Transportation &amp; Distribution: 0.000434 tCO2e/unit</w:t>
      </w:r>
    </w:p>
    <w:bookmarkEnd w:id="34"/>
    <w:bookmarkStart w:id="35" w:name="category-11-use-of-sold-products"/>
    <w:p>
      <w:pPr>
        <w:pStyle w:val="Heading4"/>
      </w:pPr>
      <w:r>
        <w:t xml:space="preserve">4.3.3. Category 11: Use of Sold Products</w:t>
      </w:r>
    </w:p>
    <w:p>
      <w:pPr>
        <w:pStyle w:val="FirstParagraph"/>
      </w:pPr>
      <w:r>
        <w:t xml:space="preserve">Emissions from the energy consumed by vswfitwouk during its operational lifespan.</w:t>
      </w:r>
    </w:p>
    <w:p>
      <w:pPr>
        <w:numPr>
          <w:ilvl w:val="0"/>
          <w:numId w:val="1012"/>
        </w:numPr>
        <w:pStyle w:val="Compact"/>
      </w:pPr>
      <w:r>
        <w:rPr>
          <w:bCs/>
          <w:b/>
        </w:rPr>
        <w:t xml:space="preserve">Product Lifespan:</w:t>
      </w:r>
      <w:r>
        <w:t xml:space="preserve"> </w:t>
      </w:r>
      <w:r>
        <w:t xml:space="preserve">5 years [cite: xvshnsknvv]</w:t>
      </w:r>
    </w:p>
    <w:p>
      <w:pPr>
        <w:numPr>
          <w:ilvl w:val="0"/>
          <w:numId w:val="1012"/>
        </w:numPr>
        <w:pStyle w:val="Compact"/>
      </w:pPr>
      <w:r>
        <w:rPr>
          <w:bCs/>
          <w:b/>
        </w:rPr>
        <w:t xml:space="preserve">Energy Consumption in Use:</w:t>
      </w:r>
      <w:r>
        <w:t xml:space="preserve"> </w:t>
      </w:r>
      <w:r>
        <w:t xml:space="preserve">20 kWh/year [cite: emddugelgl]</w:t>
      </w:r>
    </w:p>
    <w:p>
      <w:pPr>
        <w:numPr>
          <w:ilvl w:val="0"/>
          <w:numId w:val="1012"/>
        </w:numPr>
        <w:pStyle w:val="Compact"/>
      </w:pPr>
      <w:r>
        <w:rPr>
          <w:bCs/>
          <w:b/>
        </w:rPr>
        <w:t xml:space="preserve">Electricity Grid Emission Factor (End-user region, avg):</w:t>
      </w:r>
      <w:r>
        <w:t xml:space="preserve"> </w:t>
      </w:r>
      <w:r>
        <w:t xml:space="preserve">0.4 kgCO2e/kWh (assumed average for Europe)</w:t>
      </w:r>
    </w:p>
    <w:p>
      <w:pPr>
        <w:numPr>
          <w:ilvl w:val="0"/>
          <w:numId w:val="1012"/>
        </w:numPr>
        <w:pStyle w:val="Compact"/>
      </w:pPr>
      <w:r>
        <w:rPr>
          <w:bCs/>
          <w:b/>
        </w:rPr>
        <w:t xml:space="preserve">Calculation:</w:t>
      </w:r>
      <w:r>
        <w:t xml:space="preserve"> </w:t>
      </w:r>
      <w:r>
        <w:t xml:space="preserve">(20 kWh/year * 5 years) * 0.4 kgCO2e/kWh = 40 kgCO2e/unit = 0.04 tCO2e/unit</w:t>
      </w:r>
    </w:p>
    <w:p>
      <w:pPr>
        <w:pStyle w:val="FirstParagraph"/>
      </w:pPr>
      <w:r>
        <w:rPr>
          <w:bCs/>
          <w:b/>
        </w:rPr>
        <w:t xml:space="preserve">Total Scope 3 - Use of Sold Products: 0.04 tCO2e/unit</w:t>
      </w:r>
    </w:p>
    <w:bookmarkEnd w:id="35"/>
    <w:bookmarkStart w:id="36" w:name="X9f66eef2700632e081dfe139021cb724ffcd2c5"/>
    <w:p>
      <w:pPr>
        <w:pStyle w:val="Heading4"/>
      </w:pPr>
      <w:r>
        <w:t xml:space="preserve">4.3.4. Category 12: End-of-Life Treatment of Sold Products</w:t>
      </w:r>
    </w:p>
    <w:p>
      <w:pPr>
        <w:pStyle w:val="FirstParagraph"/>
      </w:pPr>
      <w:r>
        <w:t xml:space="preserve">Emissions and potential avoided emissions from the disposal, recycling, or recovery of the product.</w:t>
      </w:r>
    </w:p>
    <w:p>
      <w:pPr>
        <w:numPr>
          <w:ilvl w:val="0"/>
          <w:numId w:val="1013"/>
        </w:numPr>
        <w:pStyle w:val="Compact"/>
      </w:pPr>
      <w:r>
        <w:rPr>
          <w:bCs/>
          <w:b/>
        </w:rPr>
        <w:t xml:space="preserve">Recyclability Percentage:</w:t>
      </w:r>
      <w:r>
        <w:t xml:space="preserve"> </w:t>
      </w:r>
      <w:r>
        <w:t xml:space="preserve">80% [cite: vmtxvqfqdl]</w:t>
      </w:r>
    </w:p>
    <w:p>
      <w:pPr>
        <w:numPr>
          <w:ilvl w:val="0"/>
          <w:numId w:val="1013"/>
        </w:numPr>
        <w:pStyle w:val="Compact"/>
      </w:pPr>
      <w:r>
        <w:rPr>
          <w:bCs/>
          <w:b/>
        </w:rPr>
        <w:t xml:space="preserve">Circular/Take-back Programs:</w:t>
      </w:r>
      <w:r>
        <w:t xml:space="preserve"> </w:t>
      </w:r>
      <w:r>
        <w:t xml:space="preserve">Yes, 10% return rate [cite: sfltkfrzop]</w:t>
      </w:r>
    </w:p>
    <w:p>
      <w:pPr>
        <w:numPr>
          <w:ilvl w:val="0"/>
          <w:numId w:val="1013"/>
        </w:numPr>
        <w:pStyle w:val="Compact"/>
      </w:pPr>
      <w:r>
        <w:rPr>
          <w:bCs/>
          <w:b/>
        </w:rPr>
        <w:t xml:space="preserve">Assumed Total Product Mass:</w:t>
      </w:r>
      <w:r>
        <w:t xml:space="preserve"> </w:t>
      </w:r>
      <w:r>
        <w:t xml:space="preserve">6.2 kg</w:t>
      </w:r>
    </w:p>
    <w:p>
      <w:pPr>
        <w:numPr>
          <w:ilvl w:val="0"/>
          <w:numId w:val="1013"/>
        </w:numPr>
        <w:pStyle w:val="Compact"/>
      </w:pPr>
      <w:r>
        <w:rPr>
          <w:bCs/>
          <w:b/>
        </w:rPr>
        <w:t xml:space="preserve">Emissions from Landfilling (20% of product mass):</w:t>
      </w:r>
    </w:p>
    <w:p>
      <w:pPr>
        <w:numPr>
          <w:ilvl w:val="1"/>
          <w:numId w:val="1014"/>
        </w:numPr>
        <w:pStyle w:val="Compact"/>
      </w:pPr>
      <w:r>
        <w:t xml:space="preserve">(6.2 kg * 0.20) * 0.0005 tCO2e/kg (landfill EF) = 0.00062 tCO2e/unit</w:t>
      </w:r>
    </w:p>
    <w:p>
      <w:pPr>
        <w:numPr>
          <w:ilvl w:val="0"/>
          <w:numId w:val="1013"/>
        </w:numPr>
        <w:pStyle w:val="Compact"/>
      </w:pPr>
      <w:r>
        <w:rPr>
          <w:bCs/>
          <w:b/>
        </w:rPr>
        <w:t xml:space="preserve">Avoided Emissions from Recycling (80% of product mass, assuming material replacement):</w:t>
      </w:r>
    </w:p>
    <w:p>
      <w:pPr>
        <w:numPr>
          <w:ilvl w:val="1"/>
          <w:numId w:val="1015"/>
        </w:numPr>
        <w:pStyle w:val="Compact"/>
      </w:pPr>
      <w:r>
        <w:t xml:space="preserve">(6.2 kg * 0.80) * -0.001 tCO2e/kg (average avoided EF) = -0.00496 tCO2e/unit</w:t>
      </w:r>
    </w:p>
    <w:p>
      <w:pPr>
        <w:numPr>
          <w:ilvl w:val="0"/>
          <w:numId w:val="1013"/>
        </w:numPr>
        <w:pStyle w:val="Compact"/>
      </w:pPr>
      <w:r>
        <w:rPr>
          <w:bCs/>
          <w:b/>
        </w:rPr>
        <w:t xml:space="preserve">Net End-of-Life Emissions:</w:t>
      </w:r>
      <w:r>
        <w:t xml:space="preserve"> </w:t>
      </w:r>
      <w:r>
        <w:t xml:space="preserve">0.00062 - 0.00496 = -0.00434 tCO2e/unit (a net carbon removal/avoidance)</w:t>
      </w:r>
    </w:p>
    <w:p>
      <w:pPr>
        <w:pStyle w:val="FirstParagraph"/>
      </w:pPr>
      <w:r>
        <w:rPr>
          <w:bCs/>
          <w:b/>
        </w:rPr>
        <w:t xml:space="preserve">Total Scope 3 - End-of-Life Treatment: -0.00434 tCO2e/unit</w:t>
      </w:r>
    </w:p>
    <w:bookmarkEnd w:id="36"/>
    <w:bookmarkEnd w:id="37"/>
    <w:bookmarkStart w:id="38" w:name="X22cf9f224551e22ea0006f7bfb4630621d6eea2"/>
    <w:p>
      <w:pPr>
        <w:pStyle w:val="Heading3"/>
      </w:pPr>
      <w:r>
        <w:t xml:space="preserve">4.4. Total Product Carbon Footprint (PCF) Calculation</w:t>
      </w:r>
    </w:p>
    <w:p>
      <w:pPr>
        <w:pStyle w:val="FirstParagraph"/>
      </w:pPr>
      <w:r>
        <w:t xml:space="preserve">The total PCF is the sum of emissions from all scopes and lifecycle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(tCO2e/unit)</w:t>
            </w:r>
          </w:p>
        </w:tc>
      </w:tr>
      <w:tr>
        <w:tc>
          <w:tcPr/>
          <w:p>
            <w:pPr>
              <w:pStyle w:val="Compact"/>
              <w:jc w:val="left"/>
            </w:pPr>
            <w:r>
              <w:t xml:space="preserve">Scope 1 (Direct Emissions)</w:t>
            </w:r>
          </w:p>
        </w:tc>
        <w:tc>
          <w:tcPr/>
          <w:p>
            <w:pPr>
              <w:pStyle w:val="Compact"/>
              <w:jc w:val="left"/>
            </w:pPr>
            <w:r>
              <w:t xml:space="preserve">0.0001</w:t>
            </w:r>
          </w:p>
        </w:tc>
      </w:tr>
      <w:tr>
        <w:tc>
          <w:tcPr/>
          <w:p>
            <w:pPr>
              <w:pStyle w:val="Compact"/>
              <w:jc w:val="left"/>
            </w:pPr>
            <w:r>
              <w:t xml:space="preserve">Scope 2 (Purchased Energy)</w:t>
            </w:r>
          </w:p>
        </w:tc>
        <w:tc>
          <w:tcPr/>
          <w:p>
            <w:pPr>
              <w:pStyle w:val="Compact"/>
              <w:jc w:val="left"/>
            </w:pPr>
            <w:r>
              <w:t xml:space="preserve">0.0015</w:t>
            </w:r>
          </w:p>
        </w:tc>
      </w:tr>
      <w:tr>
        <w:tc>
          <w:tcPr/>
          <w:p>
            <w:pPr>
              <w:pStyle w:val="Compact"/>
              <w:jc w:val="left"/>
            </w:pPr>
            <w:r>
              <w:t xml:space="preserve">Scope 3 - Category 1 (Materials)</w:t>
            </w:r>
          </w:p>
        </w:tc>
        <w:tc>
          <w:tcPr/>
          <w:p>
            <w:pPr>
              <w:pStyle w:val="Compact"/>
              <w:jc w:val="left"/>
            </w:pPr>
            <w:r>
              <w:t xml:space="preserve">0.05486</w:t>
            </w:r>
          </w:p>
        </w:tc>
      </w:tr>
      <w:tr>
        <w:tc>
          <w:tcPr/>
          <w:p>
            <w:pPr>
              <w:pStyle w:val="Compact"/>
              <w:jc w:val="left"/>
            </w:pPr>
            <w:r>
              <w:t xml:space="preserve">Scope 3 - Category 4 (Transport)</w:t>
            </w:r>
          </w:p>
        </w:tc>
        <w:tc>
          <w:tcPr/>
          <w:p>
            <w:pPr>
              <w:pStyle w:val="Compact"/>
              <w:jc w:val="left"/>
            </w:pPr>
            <w:r>
              <w:t xml:space="preserve">0.000434</w:t>
            </w:r>
          </w:p>
        </w:tc>
      </w:tr>
      <w:tr>
        <w:tc>
          <w:tcPr/>
          <w:p>
            <w:pPr>
              <w:pStyle w:val="Compact"/>
              <w:jc w:val="left"/>
            </w:pPr>
            <w:r>
              <w:t xml:space="preserve">Scope 3 - Category 11 (Use Phase)</w:t>
            </w:r>
          </w:p>
        </w:tc>
        <w:tc>
          <w:tcPr/>
          <w:p>
            <w:pPr>
              <w:pStyle w:val="Compact"/>
              <w:jc w:val="left"/>
            </w:pPr>
            <w:r>
              <w:t xml:space="preserve">0.04</w:t>
            </w:r>
          </w:p>
        </w:tc>
      </w:tr>
      <w:tr>
        <w:tc>
          <w:tcPr/>
          <w:p>
            <w:pPr>
              <w:pStyle w:val="Compact"/>
              <w:jc w:val="left"/>
            </w:pPr>
            <w:r>
              <w:t xml:space="preserve">Scope 3 - Category 12 (End-of-Life)</w:t>
            </w:r>
          </w:p>
        </w:tc>
        <w:tc>
          <w:tcPr/>
          <w:p>
            <w:pPr>
              <w:pStyle w:val="Compact"/>
              <w:jc w:val="left"/>
            </w:pPr>
            <w:r>
              <w:t xml:space="preserve">-0.00434</w:t>
            </w:r>
          </w:p>
        </w:tc>
      </w:tr>
      <w:tr>
        <w:tc>
          <w:tcPr/>
          <w:p>
            <w:pPr>
              <w:pStyle w:val="Compact"/>
              <w:jc w:val="left"/>
            </w:pPr>
            <w:r>
              <w:t xml:space="preserve">Total Product Carbon Footprint (PCF)</w:t>
            </w:r>
          </w:p>
        </w:tc>
        <w:tc>
          <w:tcPr/>
          <w:p>
            <w:pPr>
              <w:pStyle w:val="Compact"/>
              <w:jc w:val="left"/>
            </w:pPr>
            <w:r>
              <w:t xml:space="preserve">0.092554</w:t>
            </w:r>
          </w:p>
        </w:tc>
      </w:tr>
    </w:tbl>
    <w:p>
      <w:pPr>
        <w:pStyle w:val="BodyText"/>
      </w:pPr>
      <w:r>
        <w:rPr>
          <w:bCs/>
          <w:b/>
        </w:rPr>
        <w:t xml:space="preserve">Calculated Total PCF for vswfitwouk: 0.092554 tCO2e/unit</w:t>
      </w:r>
    </w:p>
    <w:p>
      <w:r>
        <w:pict>
          <v:rect style="width:0;height:1.5pt" o:hralign="center" o:hrstd="t" o:hr="t"/>
        </w:pict>
      </w:r>
    </w:p>
    <w:bookmarkEnd w:id="38"/>
    <w:bookmarkEnd w:id="39"/>
    <w:bookmarkStart w:id="43" w:name="step-5-review-report"/>
    <w:p>
      <w:pPr>
        <w:pStyle w:val="Heading2"/>
      </w:pPr>
      <w:r>
        <w:t xml:space="preserve">5. Step 5: Review &amp; Report</w:t>
      </w:r>
    </w:p>
    <w:bookmarkStart w:id="40" w:name="emission-hotspots"/>
    <w:p>
      <w:pPr>
        <w:pStyle w:val="Heading3"/>
      </w:pPr>
      <w:r>
        <w:t xml:space="preserve">5.1. Emission Hotspots</w:t>
      </w:r>
    </w:p>
    <w:p>
      <w:pPr>
        <w:pStyle w:val="FirstParagraph"/>
      </w:pPr>
      <w:r>
        <w:t xml:space="preserve">The primary emission hotspots for vswfitwouk are identified as:</w:t>
      </w:r>
    </w:p>
    <w:p>
      <w:pPr>
        <w:numPr>
          <w:ilvl w:val="0"/>
          <w:numId w:val="1016"/>
        </w:numPr>
        <w:pStyle w:val="Compact"/>
      </w:pPr>
      <w:r>
        <w:rPr>
          <w:bCs/>
          <w:b/>
        </w:rPr>
        <w:t xml:space="preserve">Materials Acquisition &amp; Pre-processing (Scope 3, Category 1):</w:t>
      </w:r>
      <w:r>
        <w:t xml:space="preserve"> </w:t>
      </w:r>
      <w:r>
        <w:t xml:space="preserve">This stage accounts for approximately 59.2% of the total footprint (0.05486 tCO2e/unit out of 0.092554 tCO2e/unit), largely due to energy-intensive material production processes (e.g., Aluminium Alloy).</w:t>
      </w:r>
    </w:p>
    <w:p>
      <w:pPr>
        <w:numPr>
          <w:ilvl w:val="0"/>
          <w:numId w:val="1016"/>
        </w:numPr>
        <w:pStyle w:val="Compact"/>
      </w:pPr>
      <w:r>
        <w:rPr>
          <w:bCs/>
          <w:b/>
        </w:rPr>
        <w:t xml:space="preserve">Use Phase (Scope 3, Category 11):</w:t>
      </w:r>
      <w:r>
        <w:t xml:space="preserve"> </w:t>
      </w:r>
      <w:r>
        <w:t xml:space="preserve">This stage contributes significantly, representing about 43.2% of the total footprint (0.04 tCO2e/unit), driven by the product\'s energy consumption over its 5-year lifespan.</w:t>
      </w:r>
    </w:p>
    <w:p>
      <w:pPr>
        <w:numPr>
          <w:ilvl w:val="0"/>
          <w:numId w:val="1016"/>
        </w:numPr>
        <w:pStyle w:val="Compact"/>
      </w:pPr>
      <w:r>
        <w:rPr>
          <w:bCs/>
          <w:b/>
        </w:rPr>
        <w:t xml:space="preserve">End-of-Life (Scope 3, Category 12):</w:t>
      </w:r>
      <w:r>
        <w:t xml:space="preserve"> </w:t>
      </w:r>
      <w:r>
        <w:t xml:space="preserve">A net negative contribution (-0.00434 tCO2e/unit) indicates that the high recyclability and circular programs lead to significant avoided emissions, demonstrating a positive impact in this stage.</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adherence to GHG Protocol standards and the use of specific primary data where available (BOM, energy usage). However, certain limitations exist:</w:t>
      </w:r>
    </w:p>
    <w:p>
      <w:pPr>
        <w:numPr>
          <w:ilvl w:val="0"/>
          <w:numId w:val="1017"/>
        </w:numPr>
        <w:pStyle w:val="Compact"/>
      </w:pPr>
      <w:r>
        <w:rPr>
          <w:bCs/>
          <w:b/>
        </w:rPr>
        <w:t xml:space="preserve">Secondary Data Reliance:</w:t>
      </w:r>
      <w:r>
        <w:t xml:space="preserve"> </w:t>
      </w:r>
      <w:r>
        <w:t xml:space="preserve">Where primary data was unavailable (e.g., for specific supply chain transport details beyond overall distance and mode, or for detailed energy mixes of all material suppliers), industry-average secondary data from Ecoinvent/DEFRA was used. While robust, this introduces a degree of uncertainty compared to product-specific primary data.</w:t>
      </w:r>
    </w:p>
    <w:p>
      <w:pPr>
        <w:numPr>
          <w:ilvl w:val="0"/>
          <w:numId w:val="1017"/>
        </w:numPr>
        <w:pStyle w:val="Compact"/>
      </w:pPr>
      <w:r>
        <w:rPr>
          <w:bCs/>
          <w:b/>
        </w:rPr>
        <w:t xml:space="preserve">Placeholder Data:</w:t>
      </w:r>
      <w:r>
        <w:t xml:space="preserve"> </w:t>
      </w:r>
      <w:r>
        <w:t xml:space="preserve">For parameters given as strings (e.g., \'sqidpdzttx\', \'vvdqtixtvo\'), representative numerical values were assumed for calculation purposes. The actual footprint will vary based on the specific, real-world values of these parameters.</w:t>
      </w:r>
    </w:p>
    <w:p>
      <w:pPr>
        <w:numPr>
          <w:ilvl w:val="0"/>
          <w:numId w:val="1017"/>
        </w:numPr>
        <w:pStyle w:val="Compact"/>
      </w:pPr>
      <w:r>
        <w:rPr>
          <w:bCs/>
          <w:b/>
        </w:rPr>
        <w:t xml:space="preserve">Dynamic Supply Chains:</w:t>
      </w:r>
      <w:r>
        <w:t xml:space="preserve"> </w:t>
      </w:r>
      <w:r>
        <w:t xml:space="preserve">Emission factors and supply chain dynamics can change, requiring periodic updates to this analysis to maintain accuracy.</w:t>
      </w:r>
    </w:p>
    <w:bookmarkEnd w:id="41"/>
    <w:bookmarkStart w:id="42" w:name="recommendations-for-emission-reduction"/>
    <w:p>
      <w:pPr>
        <w:pStyle w:val="Heading3"/>
      </w:pPr>
      <w:r>
        <w:t xml:space="preserve">5.3. Recommendations for Emission Reduction</w:t>
      </w:r>
    </w:p>
    <w:p>
      <w:pPr>
        <w:numPr>
          <w:ilvl w:val="0"/>
          <w:numId w:val="1018"/>
        </w:numPr>
        <w:pStyle w:val="Compact"/>
      </w:pPr>
      <w:r>
        <w:rPr>
          <w:bCs/>
          <w:b/>
        </w:rPr>
        <w:t xml:space="preserve">Material Optimization:</w:t>
      </w:r>
      <w:r>
        <w:t xml:space="preserve"> </w:t>
      </w:r>
      <w:r>
        <w:t xml:space="preserve">Focus on sourcing lower-carbon alternatives for high-impact materials, particularly Aluminium Alloy and Lithium-ion. Investigate opportunities for increased use of recycled content in these components.</w:t>
      </w:r>
    </w:p>
    <w:p>
      <w:pPr>
        <w:numPr>
          <w:ilvl w:val="0"/>
          <w:numId w:val="1018"/>
        </w:numPr>
        <w:pStyle w:val="Compact"/>
      </w:pPr>
      <w:r>
        <w:rPr>
          <w:bCs/>
          <w:b/>
        </w:rPr>
        <w:t xml:space="preserve">Energy Efficiency in Use Phase:</w:t>
      </w:r>
      <w:r>
        <w:t xml:space="preserve"> </w:t>
      </w:r>
      <w:r>
        <w:t xml:space="preserve">Explore product design improvements to reduce energy consumption during the product\'s lifespan, or promote renewable energy adoption by end-users.</w:t>
      </w:r>
    </w:p>
    <w:p>
      <w:pPr>
        <w:numPr>
          <w:ilvl w:val="0"/>
          <w:numId w:val="1018"/>
        </w:numPr>
        <w:pStyle w:val="Compact"/>
      </w:pPr>
      <w:r>
        <w:rPr>
          <w:bCs/>
          <w:b/>
        </w:rPr>
        <w:t xml:space="preserve">Enhance Circularity:</w:t>
      </w:r>
      <w:r>
        <w:t xml:space="preserve"> </w:t>
      </w:r>
      <w:r>
        <w:t xml:space="preserve">Continue to strengthen circular/take-back programs and explore design-for-disassembly to maximize recyclability and recovery, building on the already positive EoL impact.</w:t>
      </w:r>
    </w:p>
    <w:p>
      <w:pPr>
        <w:numPr>
          <w:ilvl w:val="0"/>
          <w:numId w:val="1018"/>
        </w:numPr>
        <w:pStyle w:val="Compact"/>
      </w:pPr>
      <w:r>
        <w:rPr>
          <w:bCs/>
          <w:b/>
        </w:rPr>
        <w:t xml:space="preserve">Supply Chain Engagement:</w:t>
      </w:r>
      <w:r>
        <w:t xml:space="preserve"> </w:t>
      </w:r>
      <w:r>
        <w:t xml:space="preserve">Collaborate with key suppliers to obtain more specific primary data on their production processes and transport, enabling more precise emission calculations and targeted reduction efforts.</w:t>
      </w:r>
    </w:p>
    <w:p>
      <w:pPr>
        <w:pStyle w:val="FirstParagraph"/>
      </w:pPr>
      <w:r>
        <w:t xml:space="preserve">This report provides pgwdgxweip with a foundational understanding of vswfitwouk\'s carbon footprint, identifying key areas for strategic interventions to reduce its environmental impact.</w:t>
      </w:r>
    </w:p>
    <w:p>
      <w:r>
        <w:pict>
          <v:rect style="width:0;height:1.5pt" o:hralign="center" o:hrstd="t" o:hr="t"/>
        </w:pict>
      </w:r>
    </w:p>
    <w:p>
      <w:pPr>
        <w:pStyle w:val="FirstParagraph"/>
      </w:pPr>
      <w:r>
        <w:t xml:space="preserve">Confidential - Internal Use Only</w:t>
      </w:r>
    </w:p>
    <w:p>
      <w:pPr>
        <w:pStyle w:val="BodyText"/>
      </w:pPr>
      <w:r>
        <w:t xml:space="preserve">Page 2 of 2 (Illustrative Page Numbering)</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vswfitwouk</dc:title>
  <dc:creator/>
  <dc:description>Detailed Product Carbon Footprint (PCF) analysis report for product vswfitwouk by pgwdgxweip, adhering to GHG Protocol and 2026 LSR standards.</dc:description>
  <dc:language>en</dc:language>
  <cp:keywords/>
  <dcterms:created xsi:type="dcterms:W3CDTF">2026-07-15T18:07:59Z</dcterms:created>
  <dcterms:modified xsi:type="dcterms:W3CDTF">2026-07-15T18:07:59Z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