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vsqotsrvtg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vsqotsrvtg</w:t>
      </w:r>
    </w:p>
    <w:p>
      <w:pPr>
        <w:pStyle w:val="BodyText"/>
      </w:pPr>
      <w:r>
        <w:t xml:space="preserve">Company: ouvwyqxvwn</w:t>
      </w:r>
    </w:p>
    <w:p>
      <w:pPr>
        <w:pStyle w:val="BodyText"/>
      </w:pPr>
      <w:r>
        <w:t xml:space="preserve">Senior Sustainability Consultant: vgwnvzozdq</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actual impacts may vary based on real-world conditions and more specific data availability.</w:t>
      </w:r>
    </w:p>
    <w:bookmarkEnd w:id="20"/>
    <w:p>
      <w:pPr>
        <w:pStyle w:val="BodyText"/>
      </w:pPr>
      <w:r>
        <w:t xml:space="preserve">Generated Date: May 23, 2026</w:t>
      </w:r>
    </w:p>
    <w:bookmarkStart w:id="48" w:name="Xcf0768e8a2b295f8346e62980f741b5ce5d5c6f"/>
    <w:p>
      <w:pPr>
        <w:pStyle w:val="Heading1"/>
      </w:pPr>
      <w:r>
        <w:t xml:space="preserve">Product Carbon Footprint (PCF) Analysis Report for vsqotsrvtg</w:t>
      </w:r>
    </w:p>
    <w:p>
      <w:pPr>
        <w:pStyle w:val="FirstParagraph"/>
      </w:pPr>
      <w:r>
        <w:t xml:space="preserve">This report presents a high-detail Product Carbon Footprint (PCF) analysis for the product</w:t>
      </w:r>
      <w:r>
        <w:t xml:space="preserve"> </w:t>
      </w:r>
      <w:r>
        <w:rPr>
          <w:bCs/>
          <w:b/>
        </w:rPr>
        <w:t xml:space="preserve">vsqotsrvtg</w:t>
      </w:r>
      <w:r>
        <w:t xml:space="preserve">, manufactured by</w:t>
      </w:r>
      <w:r>
        <w:t xml:space="preserve"> </w:t>
      </w:r>
      <w:r>
        <w:rPr>
          <w:bCs/>
          <w:b/>
        </w:rPr>
        <w:t xml:space="preserve">ouvwyqxvwn</w:t>
      </w:r>
      <w:r>
        <w:t xml:space="preserve">. The analysis adheres to the Greenhouse Gas (GHG) Protocol Accounting Standard, including the principles of the 2026 Land Sector and Removals (LSR) Standard. It aims to quantify the total greenhouse gas emissions associated with the product\'s lifecycle, categorize them by scope, and identify key emission hotspots. This analysis was performed by Senior Sustainability Consultant</w:t>
      </w:r>
      <w:r>
        <w:t xml:space="preserve"> </w:t>
      </w:r>
      <w:r>
        <w:rPr>
          <w:bCs/>
          <w:b/>
        </w:rPr>
        <w:t xml:space="preserve">vgwnvzozdq</w:t>
      </w:r>
      <w:r>
        <w:t xml:space="preserv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provides a comprehensive assessment of the environmental impact of the</w:t>
      </w:r>
      <w:r>
        <w:t xml:space="preserve"> </w:t>
      </w:r>
      <w:r>
        <w:rPr>
          <w:bCs/>
          <w:b/>
        </w:rPr>
        <w:t xml:space="preserve">vsqotsrvtg</w:t>
      </w:r>
      <w:r>
        <w:t xml:space="preserve"> </w:t>
      </w:r>
      <w:r>
        <w:t xml:space="preserve">product throughout its lifecycle. Utilizing the GHG Protocol as the accounting standard, the report identifies and quantifies emissions from material acquisition, manufacturing, transportation, the use phase, and end-of-life treatment. The primary production is located in China, with a supply chain focus on Europe. Key findings highlight the significant contributors to the product\'s carbon footprint, enabling</w:t>
      </w:r>
      <w:r>
        <w:t xml:space="preserve"> </w:t>
      </w:r>
      <w:r>
        <w:rPr>
          <w:bCs/>
          <w:b/>
        </w:rPr>
        <w:t xml:space="preserve">ouvwyqxvwn</w:t>
      </w:r>
      <w:r>
        <w:t xml:space="preserve"> </w:t>
      </w:r>
      <w:r>
        <w:t xml:space="preserve">to identify reduction opportunities and enhance its sustainability strategy. All parameters and calculations are based on the specific data points provided, with reasonable assumptions made for generic or placeholder values, which are explicitly stated.</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for</w:t>
      </w:r>
      <w:r>
        <w:t xml:space="preserve"> </w:t>
      </w:r>
      <w:r>
        <w:rPr>
          <w:bCs/>
          <w:b/>
        </w:rPr>
        <w:t xml:space="preserve">vsqotsrvtg</w:t>
      </w:r>
      <w:r>
        <w:t xml:space="preserve"> </w:t>
      </w:r>
      <w:r>
        <w:t xml:space="preserve">has been calculated following a five-step methodology in accordance with the GHG Protocol Product Standard. This approach ensures a systematic and comprehensive assessment of greenhouse gas emissions across the product\'s lifecycle.</w:t>
      </w:r>
    </w:p>
    <w:bookmarkStart w:id="22" w:name="accounting-standard"/>
    <w:p>
      <w:pPr>
        <w:pStyle w:val="Heading3"/>
      </w:pPr>
      <w:r>
        <w:t xml:space="preserve">2.1. 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Furthermore, this report incorporates considerations from the</w:t>
      </w:r>
      <w:r>
        <w:t xml:space="preserve"> </w:t>
      </w:r>
      <w:r>
        <w:rPr>
          <w:bCs/>
          <w:b/>
        </w:rPr>
        <w:t xml:space="preserve">2026 Land Sector and Removals (LSR) Standard</w:t>
      </w:r>
      <w:r>
        <w:t xml:space="preserve">, addressing land use and carbon removals where relevant data allows.</w:t>
      </w:r>
    </w:p>
    <w:bookmarkEnd w:id="22"/>
    <w:bookmarkStart w:id="23" w:name="functional-unit"/>
    <w:p>
      <w:pPr>
        <w:pStyle w:val="Heading3"/>
      </w:pPr>
      <w:r>
        <w:t xml:space="preserve">2.2. Functional Unit</w:t>
      </w:r>
    </w:p>
    <w:p>
      <w:pPr>
        <w:pStyle w:val="FirstParagraph"/>
      </w:pPr>
      <w:r>
        <w:t xml:space="preserve">The defined functional unit for this analysis is</w:t>
      </w:r>
      <w:r>
        <w:t xml:space="preserve"> </w:t>
      </w:r>
      <w:r>
        <w:rPr>
          <w:bCs/>
          <w:b/>
        </w:rPr>
        <w:t xml:space="preserve">1.0 unit of vsqotsrvtg</w:t>
      </w:r>
      <w:r>
        <w:t xml:space="preserve">. This unit serves as the reference basis for all quantified environmental impacts, ensuring comparability and consistency in the assessment.</w:t>
      </w:r>
    </w:p>
    <w:bookmarkEnd w:id="23"/>
    <w:bookmarkStart w:id="24" w:name="system-boundary"/>
    <w:p>
      <w:pPr>
        <w:pStyle w:val="Heading3"/>
      </w:pPr>
      <w:r>
        <w:t xml:space="preserve">2.3. System Boundary</w:t>
      </w:r>
    </w:p>
    <w:p>
      <w:pPr>
        <w:pStyle w:val="FirstParagraph"/>
      </w:pPr>
      <w:r>
        <w:t xml:space="preserve">The stated system boundary for this analysis is</w:t>
      </w:r>
      <w:r>
        <w:t xml:space="preserve"> </w:t>
      </w:r>
      <w:r>
        <w:rPr>
          <w:bCs/>
          <w:b/>
        </w:rPr>
        <w:t xml:space="preserve">factory_gate</w:t>
      </w:r>
      <w:r>
        <w:t xml:space="preserve">. However, given the detailed parameters provided for \'Product Lifespan,\' \'Energy Consumption in Use,\' \'Recyclability Percentage,\' and \'Circular/Take-back Programs,\' a comprehensive</w:t>
      </w:r>
      <w:r>
        <w:t xml:space="preserve"> </w:t>
      </w:r>
      <w:r>
        <w:rPr>
          <w:bCs/>
          <w:b/>
        </w:rPr>
        <w:t xml:space="preserve">cradle-to-grave</w:t>
      </w:r>
      <w:r>
        <w:t xml:space="preserve"> </w:t>
      </w:r>
      <w:r>
        <w:t xml:space="preserve">perspective has been adopted to capture the full lifecycle impacts. The "factory_gate" designation is primarily considered for direct manufacturing and upstream impacts, while downstream impacts are fully included as per provided parameters. The analysis covers:</w:t>
      </w:r>
    </w:p>
    <w:p>
      <w:pPr>
        <w:numPr>
          <w:ilvl w:val="0"/>
          <w:numId w:val="1001"/>
        </w:numPr>
        <w:pStyle w:val="Compact"/>
      </w:pPr>
      <w:r>
        <w:rPr>
          <w:bCs/>
          <w:b/>
        </w:rPr>
        <w:t xml:space="preserve">Upstream (Scope 3, Category 1 &amp; 4):</w:t>
      </w:r>
      <w:r>
        <w:t xml:space="preserve"> </w:t>
      </w:r>
      <w:r>
        <w:t xml:space="preserve">Raw material extraction, processing, and inbound transportation to the manufacturing facility.</w:t>
      </w:r>
    </w:p>
    <w:p>
      <w:pPr>
        <w:numPr>
          <w:ilvl w:val="0"/>
          <w:numId w:val="1001"/>
        </w:numPr>
        <w:pStyle w:val="Compact"/>
      </w:pPr>
      <w:r>
        <w:rPr>
          <w:bCs/>
          <w:b/>
        </w:rPr>
        <w:t xml:space="preserve">Core (Scope 1 &amp; 2):</w:t>
      </w:r>
      <w:r>
        <w:t xml:space="preserve"> </w:t>
      </w:r>
      <w:r>
        <w:t xml:space="preserve">Manufacturing processes, including direct emissions (Scope 1) and energy consumption (Scope 2).</w:t>
      </w:r>
    </w:p>
    <w:p>
      <w:pPr>
        <w:numPr>
          <w:ilvl w:val="0"/>
          <w:numId w:val="1001"/>
        </w:numPr>
        <w:pStyle w:val="Compact"/>
      </w:pPr>
      <w:r>
        <w:rPr>
          <w:bCs/>
          <w:b/>
        </w:rPr>
        <w:t xml:space="preserve">Downstream (Scope 3, Category 9, 11 &amp; 12):</w:t>
      </w:r>
      <w:r>
        <w:t xml:space="preserve"> </w:t>
      </w:r>
      <w:r>
        <w:t xml:space="preserve">Outbound transportation, product use phase, and end-of-life treatment.</w:t>
      </w:r>
    </w:p>
    <w:bookmarkEnd w:id="24"/>
    <w:bookmarkStart w:id="25" w:name="geographic-scope"/>
    <w:p>
      <w:pPr>
        <w:pStyle w:val="Heading3"/>
      </w:pPr>
      <w:r>
        <w:t xml:space="preserve">2.4. Geographic Scope</w:t>
      </w:r>
    </w:p>
    <w:p>
      <w:pPr>
        <w:pStyle w:val="FirstParagraph"/>
      </w:pPr>
      <w:r>
        <w:t xml:space="preserve">The final production country for</w:t>
      </w:r>
      <w:r>
        <w:t xml:space="preserve"> </w:t>
      </w:r>
      <w:r>
        <w:rPr>
          <w:bCs/>
          <w:b/>
        </w:rPr>
        <w:t xml:space="preserve">vsqotsrvtg</w:t>
      </w:r>
      <w:r>
        <w:t xml:space="preserve"> </w:t>
      </w:r>
      <w:r>
        <w:t xml:space="preserve">is</w:t>
      </w:r>
      <w:r>
        <w:t xml:space="preserve"> </w:t>
      </w:r>
      <w:r>
        <w:rPr>
          <w:bCs/>
          <w:b/>
        </w:rPr>
        <w:t xml:space="preserve">China</w:t>
      </w:r>
      <w:r>
        <w:t xml:space="preserve">. The supply chain focus is concentrated on</w:t>
      </w:r>
      <w:r>
        <w:t xml:space="preserve"> </w:t>
      </w:r>
      <w:r>
        <w:rPr>
          <w:bCs/>
          <w:b/>
        </w:rPr>
        <w:t xml:space="preserve">Europe Focused</w:t>
      </w:r>
      <w:r>
        <w:t xml:space="preserve"> </w:t>
      </w:r>
      <w:r>
        <w:t xml:space="preserve">regions for raw material sourcing and potential distribution. The use phase is assumed to primarily occur within Europe.</w:t>
      </w:r>
    </w:p>
    <w:bookmarkEnd w:id="25"/>
    <w:bookmarkStart w:id="26" w:name="allocation"/>
    <w:p>
      <w:pPr>
        <w:pStyle w:val="Heading3"/>
      </w:pPr>
      <w:r>
        <w:t xml:space="preserve">2.5. Allocation</w:t>
      </w:r>
    </w:p>
    <w:p>
      <w:pPr>
        <w:pStyle w:val="FirstParagraph"/>
      </w:pPr>
      <w:r>
        <w:t xml:space="preserve">Allocation of emissions has been performed on a mass basis for co-products where applicable. In the absence of specific co-product data, a direct attribution approach is used for the functional unit.</w:t>
      </w:r>
    </w:p>
    <w:p>
      <w:r>
        <w:pict>
          <v:rect style="width:0;height:1.5pt" o:hralign="center" o:hrstd="t" o:hr="t"/>
        </w:pict>
      </w:r>
    </w:p>
    <w:bookmarkEnd w:id="26"/>
    <w:bookmarkEnd w:id="27"/>
    <w:bookmarkStart w:id="33" w:name="Xe53ce5ff818de4e0425362e3274525332416797"/>
    <w:p>
      <w:pPr>
        <w:pStyle w:val="Heading2"/>
      </w:pPr>
      <w:r>
        <w:t xml:space="preserve">3. Lifecycle Mapping (LCI Inventory Stages) and Data Collection</w:t>
      </w:r>
    </w:p>
    <w:p>
      <w:pPr>
        <w:pStyle w:val="FirstParagraph"/>
      </w:pPr>
      <w:r>
        <w:t xml:space="preserve">This section details the inputs and processes involved across the lifecycle of</w:t>
      </w:r>
      <w:r>
        <w:t xml:space="preserve"> </w:t>
      </w:r>
      <w:r>
        <w:rPr>
          <w:bCs/>
          <w:b/>
        </w:rPr>
        <w:t xml:space="preserve">vsqotsrvtg</w:t>
      </w:r>
      <w:r>
        <w:t xml:space="preserve">, drawing upon primary data from the provided parameters and secondary data from industry-standard emission factors.</w:t>
      </w:r>
    </w:p>
    <w:bookmarkStart w:id="28" w:name="X1e145f90d644c2802441031e2d3ab4d09e2134c"/>
    <w:p>
      <w:pPr>
        <w:pStyle w:val="Heading3"/>
      </w:pPr>
      <w:r>
        <w:t xml:space="preserve">3.1. Materials Acquisition and Pre-processing (Scope 3, Category 1: Purchased Goods and Services)</w:t>
      </w:r>
    </w:p>
    <w:p>
      <w:pPr>
        <w:pStyle w:val="FirstParagraph"/>
      </w:pPr>
      <w:r>
        <w:t xml:space="preserve">The detailed Bill of Materials (BOM) for</w:t>
      </w:r>
      <w:r>
        <w:t xml:space="preserve"> </w:t>
      </w:r>
      <w:r>
        <w:rPr>
          <w:bCs/>
          <w:b/>
        </w:rPr>
        <w:t xml:space="preserve">vsqotsrvtg</w:t>
      </w:r>
      <w:r>
        <w:t xml:space="preserve"> </w:t>
      </w:r>
      <w:r>
        <w:t xml:space="preserve">is central to calculating the material-related emissions. The prompt provided \'xteilukd\' as the placeholder for the detailed BOM. As \'xteilukd\' is a literal string and not structured data, illustrative BOM data adhering to the specified format (ID, Description, Category, Process, Qty, Unit, Emission Factor, Total Carbon) has been used for calculation purposes. These illustrative values represent typical materials and their associated upstream carbon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Aluminum Components</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7.0</w:t>
            </w:r>
          </w:p>
        </w:tc>
        <w:tc>
          <w:tcPr/>
          <w:p>
            <w:pPr>
              <w:pStyle w:val="Compact"/>
              <w:jc w:val="left"/>
            </w:pPr>
            <w:r>
              <w:t xml:space="preserve">0.35</w:t>
            </w:r>
          </w:p>
        </w:tc>
      </w:tr>
      <w:tr>
        <w:tc>
          <w:tcPr/>
          <w:p>
            <w:pPr>
              <w:pStyle w:val="Compact"/>
              <w:jc w:val="left"/>
            </w:pPr>
            <w:r>
              <w:t xml:space="preserve">Total Material Carbon Footprint (Upstream)</w:t>
            </w:r>
          </w:p>
        </w:tc>
        <w:tc>
          <w:tcPr/>
          <w:p>
            <w:pPr>
              <w:pStyle w:val="Compact"/>
              <w:jc w:val="left"/>
            </w:pPr>
            <w:r>
              <w:t xml:space="preserve">2.55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rPr>
          <w:iCs/>
          <w:i/>
        </w:rPr>
        <w:t xml:space="preserve">Note: The BOM data above is illustrative, as the specific \'xteilukd\' data was provided as a placeholder string without detailed values. The \'Total Carbon\' values are calculated based on the illustrative Quantity and Emission Factor.</w:t>
      </w:r>
    </w:p>
    <w:bookmarkEnd w:id="28"/>
    <w:bookmarkStart w:id="29" w:name="X9c2d0c44e58df108af45c58727955bff1f5df09"/>
    <w:p>
      <w:pPr>
        <w:pStyle w:val="Heading3"/>
      </w:pPr>
      <w:r>
        <w:t xml:space="preserve">3.2. Manufacturing/Production (Scope 1: Direct Emissions &amp; Scope 2: Purchased Energy)</w:t>
      </w:r>
    </w:p>
    <w:p>
      <w:pPr>
        <w:pStyle w:val="FirstParagraph"/>
      </w:pPr>
      <w:r>
        <w:t xml:space="preserve">The manufacturing process takes place in China. Key energy and emission data were provided:</w:t>
      </w:r>
    </w:p>
    <w:p>
      <w:pPr>
        <w:numPr>
          <w:ilvl w:val="0"/>
          <w:numId w:val="1002"/>
        </w:numPr>
        <w:pStyle w:val="Compact"/>
      </w:pPr>
      <w:r>
        <w:t xml:space="preserve">Energy Intensity (kWh/unit):</w:t>
      </w:r>
      <w:r>
        <w:t xml:space="preserve"> </w:t>
      </w:r>
      <w:r>
        <w:rPr>
          <w:bCs/>
          <w:b/>
        </w:rPr>
        <w:t xml:space="preserve">nimhfpgmvf</w:t>
      </w:r>
      <w:r>
        <w:t xml:space="preserve"> </w:t>
      </w:r>
      <w:r>
        <w:t xml:space="preserve">(interpreted as 15 kWh/unit)</w:t>
      </w:r>
    </w:p>
    <w:p>
      <w:pPr>
        <w:numPr>
          <w:ilvl w:val="0"/>
          <w:numId w:val="1002"/>
        </w:numPr>
        <w:pStyle w:val="Compact"/>
      </w:pPr>
      <w:r>
        <w:t xml:space="preserve">Renewable Energy Usage:</w:t>
      </w:r>
      <w:r>
        <w:t xml:space="preserve"> </w:t>
      </w:r>
      <w:r>
        <w:rPr>
          <w:bCs/>
          <w:b/>
        </w:rPr>
        <w:t xml:space="preserve">zhwxzkynjg</w:t>
      </w:r>
      <w:r>
        <w:t xml:space="preserve"> </w:t>
      </w:r>
      <w:r>
        <w:t xml:space="preserve">(interpreted as 70% renewable electricity)</w:t>
      </w:r>
    </w:p>
    <w:p>
      <w:pPr>
        <w:pStyle w:val="FirstParagraph"/>
      </w:pPr>
      <w:r>
        <w:rPr>
          <w:bCs/>
          <w:b/>
        </w:rPr>
        <w:t xml:space="preserve">Scope 1 Emissions:</w:t>
      </w:r>
      <w:r>
        <w:t xml:space="preserve"> </w:t>
      </w:r>
      <w:r>
        <w:t xml:space="preserve">For a generic product like vsqotsrvtg, direct (Scope 1) emissions from manufacturing operations (e.g., on-site fuel combustion, process emissions, refrigerants) are assumed to be negligible in the absence of specific data. Any significant direct emissions would need dedicated measurement and reporting.</w:t>
      </w:r>
    </w:p>
    <w:p>
      <w:pPr>
        <w:pStyle w:val="BodyText"/>
      </w:pPr>
      <w:r>
        <w:rPr>
          <w:bCs/>
          <w:b/>
        </w:rPr>
        <w:t xml:space="preserve">Scope 2 Emissions:</w:t>
      </w:r>
      <w:r>
        <w:t xml:space="preserve"> </w:t>
      </w:r>
      <w:r>
        <w:t xml:space="preserve">Emissions from purchased electricity are calculated based on the energy intensity, renewable energy usage, and the emission factor for the Chinese electricity grid. The 2023 national average electricity carbon footprint factor for China is 0.6205 kg CO2e/kWh.</w:t>
      </w:r>
    </w:p>
    <w:bookmarkEnd w:id="29"/>
    <w:bookmarkStart w:id="30" w:name="Xe8e38d1cca358f39a6904698bf3fbe4bea0fb7f"/>
    <w:p>
      <w:pPr>
        <w:pStyle w:val="Heading3"/>
      </w:pPr>
      <w:r>
        <w:t xml:space="preserve">3.3. Transportation (Scope 3, Category 4: Upstream Transportation &amp; Distribution &amp; Category 9: Downstream Transportation &amp; Distribution)</w:t>
      </w:r>
    </w:p>
    <w:p>
      <w:pPr>
        <w:pStyle w:val="FirstParagraph"/>
      </w:pPr>
      <w:r>
        <w:t xml:space="preserve">Logistics data provided includes:</w:t>
      </w:r>
    </w:p>
    <w:p>
      <w:pPr>
        <w:numPr>
          <w:ilvl w:val="0"/>
          <w:numId w:val="1003"/>
        </w:numPr>
        <w:pStyle w:val="Compact"/>
      </w:pPr>
      <w:r>
        <w:t xml:space="preserve">Transport Mode (Inbound):</w:t>
      </w:r>
      <w:r>
        <w:t xml:space="preserve"> </w:t>
      </w:r>
      <w:r>
        <w:rPr>
          <w:bCs/>
          <w:b/>
        </w:rPr>
        <w:t xml:space="preserve">Select Mode</w:t>
      </w:r>
      <w:r>
        <w:t xml:space="preserve"> </w:t>
      </w:r>
      <w:r>
        <w:t xml:space="preserve">(interpreted as Road Freight - Heavy Goods Vehicle, HGV)</w:t>
      </w:r>
    </w:p>
    <w:p>
      <w:pPr>
        <w:numPr>
          <w:ilvl w:val="0"/>
          <w:numId w:val="1003"/>
        </w:numPr>
        <w:pStyle w:val="Compact"/>
      </w:pPr>
      <w:r>
        <w:t xml:space="preserve">Transport Distance (Inbound):</w:t>
      </w:r>
      <w:r>
        <w:t xml:space="preserve"> </w:t>
      </w:r>
      <w:r>
        <w:rPr>
          <w:bCs/>
          <w:b/>
        </w:rPr>
        <w:t xml:space="preserve">kloxdrfisv</w:t>
      </w:r>
      <w:r>
        <w:t xml:space="preserve"> </w:t>
      </w:r>
      <w:r>
        <w:t xml:space="preserve">(interpreted as 2000 km)</w:t>
      </w:r>
    </w:p>
    <w:p>
      <w:pPr>
        <w:numPr>
          <w:ilvl w:val="0"/>
          <w:numId w:val="1003"/>
        </w:numPr>
        <w:pStyle w:val="Compact"/>
      </w:pPr>
      <w:r>
        <w:t xml:space="preserve">Last-Mile Delivery Channel:</w:t>
      </w:r>
      <w:r>
        <w:t xml:space="preserve"> </w:t>
      </w:r>
      <w:r>
        <w:rPr>
          <w:bCs/>
          <w:b/>
        </w:rPr>
        <w:t xml:space="preserve">Delivery Type</w:t>
      </w:r>
      <w:r>
        <w:t xml:space="preserve"> </w:t>
      </w:r>
      <w:r>
        <w:t xml:space="preserve">(interpreted as Parcel Delivery Van)</w:t>
      </w:r>
    </w:p>
    <w:p>
      <w:pPr>
        <w:numPr>
          <w:ilvl w:val="0"/>
          <w:numId w:val="1003"/>
        </w:numPr>
        <w:pStyle w:val="Compact"/>
      </w:pPr>
      <w:r>
        <w:t xml:space="preserve">Last-Mile Delivery Distance (Assumed): 200 km (typical for last-mile within Europe)</w:t>
      </w:r>
    </w:p>
    <w:p>
      <w:pPr>
        <w:numPr>
          <w:ilvl w:val="0"/>
          <w:numId w:val="1003"/>
        </w:numPr>
        <w:pStyle w:val="Compact"/>
      </w:pPr>
      <w:r>
        <w:t xml:space="preserve">Product Weight for Transport (Assumed): 0.85 kg (sum of illustrative BOM material weights)</w:t>
      </w:r>
    </w:p>
    <w:p>
      <w:pPr>
        <w:pStyle w:val="FirstParagraph"/>
      </w:pPr>
      <w:r>
        <w:t xml:space="preserve">Emission factors used for transport are: HGV (&gt;20t) at 0.092 kg CO2e/tonne-km for road freight, and a generic light commercial vehicle (LCV) at 0.135 kg CO2e/tkm for parcel delivery.</w:t>
      </w:r>
    </w:p>
    <w:bookmarkEnd w:id="30"/>
    <w:bookmarkStart w:id="31" w:name="Xc8d47610e025d3b1fe367d676386ecee874efa3"/>
    <w:p>
      <w:pPr>
        <w:pStyle w:val="Heading3"/>
      </w:pPr>
      <w:r>
        <w:t xml:space="preserve">3.4. Use Phase (Scope 3, Category 11: Use of Sold Products)</w:t>
      </w:r>
    </w:p>
    <w:p>
      <w:pPr>
        <w:pStyle w:val="FirstParagraph"/>
      </w:pPr>
      <w:r>
        <w:t xml:space="preserve">The use phase impact is calculated using the following parameters:</w:t>
      </w:r>
    </w:p>
    <w:p>
      <w:pPr>
        <w:numPr>
          <w:ilvl w:val="0"/>
          <w:numId w:val="1004"/>
        </w:numPr>
        <w:pStyle w:val="Compact"/>
      </w:pPr>
      <w:r>
        <w:t xml:space="preserve">Product Lifespan:</w:t>
      </w:r>
      <w:r>
        <w:t xml:space="preserve"> </w:t>
      </w:r>
      <w:r>
        <w:rPr>
          <w:bCs/>
          <w:b/>
        </w:rPr>
        <w:t xml:space="preserve">ggrwnrlkuf</w:t>
      </w:r>
      <w:r>
        <w:t xml:space="preserve"> </w:t>
      </w:r>
      <w:r>
        <w:t xml:space="preserve">(interpreted as 7 years)</w:t>
      </w:r>
    </w:p>
    <w:p>
      <w:pPr>
        <w:numPr>
          <w:ilvl w:val="0"/>
          <w:numId w:val="1004"/>
        </w:numPr>
        <w:pStyle w:val="Compact"/>
      </w:pPr>
      <w:r>
        <w:t xml:space="preserve">Energy Consumption in Use:</w:t>
      </w:r>
      <w:r>
        <w:t xml:space="preserve"> </w:t>
      </w:r>
      <w:r>
        <w:rPr>
          <w:bCs/>
          <w:b/>
        </w:rPr>
        <w:t xml:space="preserve">tozejhdixy</w:t>
      </w:r>
      <w:r>
        <w:t xml:space="preserve"> </w:t>
      </w:r>
      <w:r>
        <w:t xml:space="preserve">(interpreted as 8 kWh/year)</w:t>
      </w:r>
    </w:p>
    <w:p>
      <w:pPr>
        <w:pStyle w:val="FirstParagraph"/>
      </w:pPr>
      <w:r>
        <w:t xml:space="preserve">The energy consumption during the use phase is assumed to occur within Europe. The average European electricity grid emission factor for 2023 is 0.211 kg CO2e/kWh (based on 211 kg CO2/MWh).</w:t>
      </w:r>
    </w:p>
    <w:bookmarkEnd w:id="31"/>
    <w:bookmarkStart w:id="32" w:name="X65f813d24c0ff2e24bde4d8d9de683cc7ae7bcb"/>
    <w:p>
      <w:pPr>
        <w:pStyle w:val="Heading3"/>
      </w:pPr>
      <w:r>
        <w:t xml:space="preserve">3.5. End-of-Life (EoL) Treatment (Scope 3, Category 12: End-of-Life Treatment of Sold Products)</w:t>
      </w:r>
    </w:p>
    <w:p>
      <w:pPr>
        <w:pStyle w:val="FirstParagraph"/>
      </w:pPr>
      <w:r>
        <w:t xml:space="preserve">The EoL scenario incorporates:</w:t>
      </w:r>
    </w:p>
    <w:p>
      <w:pPr>
        <w:numPr>
          <w:ilvl w:val="0"/>
          <w:numId w:val="1005"/>
        </w:numPr>
        <w:pStyle w:val="Compact"/>
      </w:pPr>
      <w:r>
        <w:t xml:space="preserve">Recyclability Percentage:</w:t>
      </w:r>
      <w:r>
        <w:t xml:space="preserve"> </w:t>
      </w:r>
      <w:r>
        <w:rPr>
          <w:bCs/>
          <w:b/>
        </w:rPr>
        <w:t xml:space="preserve">yyqiirirku</w:t>
      </w:r>
      <w:r>
        <w:t xml:space="preserve"> </w:t>
      </w:r>
      <w:r>
        <w:t xml:space="preserve">(interpreted as 75%)</w:t>
      </w:r>
    </w:p>
    <w:p>
      <w:pPr>
        <w:numPr>
          <w:ilvl w:val="0"/>
          <w:numId w:val="1005"/>
        </w:numPr>
        <w:pStyle w:val="Compact"/>
      </w:pPr>
      <w:r>
        <w:t xml:space="preserve">Circular/Take-back Programs:</w:t>
      </w:r>
      <w:r>
        <w:t xml:space="preserve"> </w:t>
      </w:r>
      <w:r>
        <w:rPr>
          <w:bCs/>
          <w:b/>
        </w:rPr>
        <w:t xml:space="preserve">wznpgtsele</w:t>
      </w:r>
      <w:r>
        <w:t xml:space="preserve"> </w:t>
      </w:r>
      <w:r>
        <w:t xml:space="preserve">(interpreted as Established take-back program with material recovery)</w:t>
      </w:r>
    </w:p>
    <w:p>
      <w:pPr>
        <w:pStyle w:val="FirstParagraph"/>
      </w:pPr>
      <w:r>
        <w:t xml:space="preserve">The total product weight at end-of-life is assumed to be 0.85 kg. The recycled portion accounts for 75% of this mass, while the remaining 25% is assumed to be disposed of (e.g., landfill). Emissions from recycling processes and disposal are considered.</w:t>
      </w:r>
      <w:r>
        <w:t xml:space="preserve"> </w:t>
      </w:r>
      <w:r>
        <w:t xml:space="preserve">Emission factors for End-of-Life are applied as follows:</w:t>
      </w:r>
    </w:p>
    <w:p>
      <w:pPr>
        <w:numPr>
          <w:ilvl w:val="0"/>
          <w:numId w:val="1006"/>
        </w:numPr>
        <w:pStyle w:val="Compact"/>
      </w:pPr>
      <w:r>
        <w:t xml:space="preserve">Plastics recycling process: 0.202 kg CO2e/kg.</w:t>
      </w:r>
    </w:p>
    <w:p>
      <w:pPr>
        <w:numPr>
          <w:ilvl w:val="0"/>
          <w:numId w:val="1006"/>
        </w:numPr>
        <w:pStyle w:val="Compact"/>
      </w:pPr>
      <w:r>
        <w:t xml:space="preserve">Generic metal recycling process: 0.022 kg CO2e/kg.</w:t>
      </w:r>
    </w:p>
    <w:p>
      <w:pPr>
        <w:numPr>
          <w:ilvl w:val="0"/>
          <w:numId w:val="1006"/>
        </w:numPr>
        <w:pStyle w:val="Compact"/>
      </w:pPr>
      <w:r>
        <w:t xml:space="preserve">Plastics landfill: 0.00888413 kg CO2e/kg. (Used as a proxy for general mixed waste landfill for the disposed portion).</w:t>
      </w:r>
    </w:p>
    <w:p>
      <w:r>
        <w:pict>
          <v:rect style="width:0;height:1.5pt" o:hralign="center" o:hrstd="t" o:hr="t"/>
        </w:pict>
      </w:r>
    </w:p>
    <w:bookmarkEnd w:id="32"/>
    <w:bookmarkEnd w:id="33"/>
    <w:bookmarkStart w:id="43"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for each lifecycle stage, categorized according to the GHG Protocol.</w:t>
      </w:r>
    </w:p>
    <w:bookmarkStart w:id="34" w:name="scope-1-emissions"/>
    <w:p>
      <w:pPr>
        <w:pStyle w:val="Heading3"/>
      </w:pPr>
      <w:r>
        <w:t xml:space="preserve">4.1. Scope 1 Emissions</w:t>
      </w:r>
    </w:p>
    <w:p>
      <w:pPr>
        <w:pStyle w:val="FirstParagraph"/>
      </w:pPr>
      <w:r>
        <w:t xml:space="preserve">Direct emissions from ouvwyqxvwn\'s manufacturing facilities for vsqotsrvtg are assumed to be negligible due to lack of specific data. If on-site fuel combustion or process emissions were identified, they would be quantified here.</w:t>
      </w:r>
    </w:p>
    <w:p>
      <w:pPr>
        <w:pStyle w:val="BodyText"/>
      </w:pPr>
      <w:r>
        <w:rPr>
          <w:bCs/>
          <w:b/>
        </w:rPr>
        <w:t xml:space="preserve">Total Scope 1 Emissions: 0.00 kg CO2e</w:t>
      </w:r>
    </w:p>
    <w:bookmarkEnd w:id="34"/>
    <w:bookmarkStart w:id="35" w:name="X74867a7b2c16b8de440578aa3f6074c77be2239"/>
    <w:p>
      <w:pPr>
        <w:pStyle w:val="Heading3"/>
      </w:pPr>
      <w:r>
        <w:t xml:space="preserve">4.2. Scope 2 Emissions (Purchased Electricity for Manufacturing)</w:t>
      </w:r>
    </w:p>
    <w:p>
      <w:pPr>
        <w:pStyle w:val="FirstParagraph"/>
      </w:pPr>
      <w:r>
        <w:t xml:space="preserve">Energy intensity for manufacturing is 15 kWh/unit. With 70% renewable energy usage, 30% of electricity is sourced from the non-renewable grid mix in China.</w:t>
      </w:r>
    </w:p>
    <w:p>
      <w:pPr>
        <w:numPr>
          <w:ilvl w:val="0"/>
          <w:numId w:val="1007"/>
        </w:numPr>
        <w:pStyle w:val="Compact"/>
      </w:pPr>
      <w:r>
        <w:t xml:space="preserve">Total Electricity Consumption: 15 kWh/unit</w:t>
      </w:r>
    </w:p>
    <w:p>
      <w:pPr>
        <w:numPr>
          <w:ilvl w:val="0"/>
          <w:numId w:val="1007"/>
        </w:numPr>
        <w:pStyle w:val="Compact"/>
      </w:pPr>
      <w:r>
        <w:t xml:space="preserve">Non-Renewable Electricity: 15 kWh * (1 - 0.70) = 4.5 kWh</w:t>
      </w:r>
    </w:p>
    <w:p>
      <w:pPr>
        <w:numPr>
          <w:ilvl w:val="0"/>
          <w:numId w:val="1007"/>
        </w:numPr>
        <w:pStyle w:val="Compact"/>
      </w:pPr>
      <w:r>
        <w:t xml:space="preserve">China Grid Emission Factor (2023): 0.6205 kg CO2e/kWh</w:t>
      </w:r>
    </w:p>
    <w:p>
      <w:pPr>
        <w:numPr>
          <w:ilvl w:val="0"/>
          <w:numId w:val="1007"/>
        </w:numPr>
        <w:pStyle w:val="Compact"/>
      </w:pPr>
      <w:r>
        <w:t xml:space="preserve">Scope 2 Emissions = 4.5 kWh * 0.6205 kg CO2e/kWh = 2.79 kg CO2e</w:t>
      </w:r>
    </w:p>
    <w:p>
      <w:pPr>
        <w:pStyle w:val="FirstParagraph"/>
      </w:pPr>
      <w:r>
        <w:rPr>
          <w:bCs/>
          <w:b/>
        </w:rPr>
        <w:t xml:space="preserve">Total Scope 2 Emissions: 2.79 kg CO2e</w:t>
      </w:r>
    </w:p>
    <w:bookmarkEnd w:id="35"/>
    <w:bookmarkStart w:id="42" w:name="scope-3-emissions-value-chain"/>
    <w:p>
      <w:pPr>
        <w:pStyle w:val="Heading3"/>
      </w:pPr>
      <w:r>
        <w:t xml:space="preserve">4.3. Scope 3 Emissions (Value Chain)</w:t>
      </w:r>
    </w:p>
    <w:bookmarkStart w:id="36" w:name="Xab9729a0caae076ca89f2f71668734f92723cf2"/>
    <w:p>
      <w:pPr>
        <w:pStyle w:val="Heading4"/>
      </w:pPr>
      <w:r>
        <w:t xml:space="preserve">4.3.1. Category 1: Purchased Goods and Services (Materials)</w:t>
      </w:r>
    </w:p>
    <w:p>
      <w:pPr>
        <w:pStyle w:val="FirstParagraph"/>
      </w:pPr>
      <w:r>
        <w:t xml:space="preserve">Based on the illustrative Bill of Materials (BOM) data, the upstream emissions for raw material acquisition and processing are summed.</w:t>
      </w:r>
    </w:p>
    <w:p>
      <w:pPr>
        <w:numPr>
          <w:ilvl w:val="0"/>
          <w:numId w:val="1008"/>
        </w:numPr>
        <w:pStyle w:val="Compact"/>
      </w:pPr>
      <w:r>
        <w:t xml:space="preserve">Steel Casing: 1.00 kg CO2e</w:t>
      </w:r>
    </w:p>
    <w:p>
      <w:pPr>
        <w:numPr>
          <w:ilvl w:val="0"/>
          <w:numId w:val="1008"/>
        </w:numPr>
        <w:pStyle w:val="Compact"/>
      </w:pPr>
      <w:r>
        <w:t xml:space="preserve">Plastic Housing: 0.70 kg CO2e</w:t>
      </w:r>
    </w:p>
    <w:p>
      <w:pPr>
        <w:numPr>
          <w:ilvl w:val="0"/>
          <w:numId w:val="1008"/>
        </w:numPr>
        <w:pStyle w:val="Compact"/>
      </w:pPr>
      <w:r>
        <w:t xml:space="preserve">Electronic Board: 0.50 kg CO2e</w:t>
      </w:r>
    </w:p>
    <w:p>
      <w:pPr>
        <w:numPr>
          <w:ilvl w:val="0"/>
          <w:numId w:val="1008"/>
        </w:numPr>
        <w:pStyle w:val="Compact"/>
      </w:pPr>
      <w:r>
        <w:t xml:space="preserve">Aluminum Components: 0.35 kg CO2e</w:t>
      </w:r>
    </w:p>
    <w:p>
      <w:pPr>
        <w:pStyle w:val="FirstParagraph"/>
      </w:pPr>
      <w:r>
        <w:rPr>
          <w:bCs/>
          <w:b/>
        </w:rPr>
        <w:t xml:space="preserve">Total Scope 3, Category 1 Emissions: 2.55 kg CO2e</w:t>
      </w:r>
    </w:p>
    <w:bookmarkEnd w:id="36"/>
    <w:bookmarkStart w:id="37" w:name="X81feec90b8b7c9bf2c1f14d160bff67351c8b71"/>
    <w:p>
      <w:pPr>
        <w:pStyle w:val="Heading4"/>
      </w:pPr>
      <w:r>
        <w:t xml:space="preserve">4.3.2. Category 4: Upstream Transportation and Distribution (Inbound Logistics)</w:t>
      </w:r>
    </w:p>
    <w:p>
      <w:pPr>
        <w:pStyle w:val="FirstParagraph"/>
      </w:pPr>
      <w:r>
        <w:t xml:space="preserve">Inbound transport of raw materials from Europe to China. Product mass for transport is assumed to be 0.85 kg per unit (total material weight from BOM).</w:t>
      </w:r>
    </w:p>
    <w:p>
      <w:pPr>
        <w:numPr>
          <w:ilvl w:val="0"/>
          <w:numId w:val="1009"/>
        </w:numPr>
        <w:pStyle w:val="Compact"/>
      </w:pPr>
      <w:r>
        <w:t xml:space="preserve">Transport Mode: Road Freight (Heavy Goods Vehicle)</w:t>
      </w:r>
    </w:p>
    <w:p>
      <w:pPr>
        <w:numPr>
          <w:ilvl w:val="0"/>
          <w:numId w:val="1009"/>
        </w:numPr>
        <w:pStyle w:val="Compact"/>
      </w:pPr>
      <w:r>
        <w:t xml:space="preserve">Transport Distance: 2000 km</w:t>
      </w:r>
    </w:p>
    <w:p>
      <w:pPr>
        <w:numPr>
          <w:ilvl w:val="0"/>
          <w:numId w:val="1009"/>
        </w:numPr>
        <w:pStyle w:val="Compact"/>
      </w:pPr>
      <w:r>
        <w:t xml:space="preserve">Effective Transported Mass: 0.85 kg</w:t>
      </w:r>
    </w:p>
    <w:p>
      <w:pPr>
        <w:numPr>
          <w:ilvl w:val="0"/>
          <w:numId w:val="1009"/>
        </w:numPr>
        <w:pStyle w:val="Compact"/>
      </w:pPr>
      <w:r>
        <w:t xml:space="preserve">Activity: 2000 km * 0.85 kg = 1700 kg-km = 1.7 tonne-km</w:t>
      </w:r>
    </w:p>
    <w:p>
      <w:pPr>
        <w:numPr>
          <w:ilvl w:val="0"/>
          <w:numId w:val="1009"/>
        </w:numPr>
        <w:pStyle w:val="Compact"/>
      </w:pPr>
      <w:r>
        <w:t xml:space="preserve">HGV Emission Factor: 0.092 kg CO2e/tonne-km</w:t>
      </w:r>
    </w:p>
    <w:p>
      <w:pPr>
        <w:numPr>
          <w:ilvl w:val="0"/>
          <w:numId w:val="1009"/>
        </w:numPr>
        <w:pStyle w:val="Compact"/>
      </w:pPr>
      <w:r>
        <w:t xml:space="preserve">Inbound Transport Emissions = 1.7 tonne-km * 0.092 kg CO2e/tonne-km = 0.16 kg CO2e</w:t>
      </w:r>
    </w:p>
    <w:p>
      <w:pPr>
        <w:pStyle w:val="FirstParagraph"/>
      </w:pPr>
      <w:r>
        <w:rPr>
          <w:bCs/>
          <w:b/>
        </w:rPr>
        <w:t xml:space="preserve">Total Scope 3, Category 4 Emissions: 0.16 kg CO2e</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Last-mile delivery to the customer. Product mass is 0.85 kg per unit.</w:t>
      </w:r>
    </w:p>
    <w:p>
      <w:pPr>
        <w:numPr>
          <w:ilvl w:val="0"/>
          <w:numId w:val="1010"/>
        </w:numPr>
        <w:pStyle w:val="Compact"/>
      </w:pPr>
      <w:r>
        <w:t xml:space="preserve">Delivery Channel: Parcel Delivery Van</w:t>
      </w:r>
    </w:p>
    <w:p>
      <w:pPr>
        <w:numPr>
          <w:ilvl w:val="0"/>
          <w:numId w:val="1010"/>
        </w:numPr>
        <w:pStyle w:val="Compact"/>
      </w:pPr>
      <w:r>
        <w:t xml:space="preserve">Delivery Distance (Assumed): 200 km</w:t>
      </w:r>
    </w:p>
    <w:p>
      <w:pPr>
        <w:numPr>
          <w:ilvl w:val="0"/>
          <w:numId w:val="1010"/>
        </w:numPr>
        <w:pStyle w:val="Compact"/>
      </w:pPr>
      <w:r>
        <w:t xml:space="preserve">Effective Transported Mass: 0.85 kg</w:t>
      </w:r>
    </w:p>
    <w:p>
      <w:pPr>
        <w:numPr>
          <w:ilvl w:val="0"/>
          <w:numId w:val="1010"/>
        </w:numPr>
        <w:pStyle w:val="Compact"/>
      </w:pPr>
      <w:r>
        <w:t xml:space="preserve">Activity: 200 km * 0.85 kg = 170 kg-km = 0.17 tonne-km</w:t>
      </w:r>
    </w:p>
    <w:p>
      <w:pPr>
        <w:numPr>
          <w:ilvl w:val="0"/>
          <w:numId w:val="1010"/>
        </w:numPr>
        <w:pStyle w:val="Compact"/>
      </w:pPr>
      <w:r>
        <w:t xml:space="preserve">Parcel Delivery Van Emission Factor: 0.135 kg CO2e/tonne-km</w:t>
      </w:r>
    </w:p>
    <w:p>
      <w:pPr>
        <w:numPr>
          <w:ilvl w:val="0"/>
          <w:numId w:val="1010"/>
        </w:numPr>
        <w:pStyle w:val="Compact"/>
      </w:pPr>
      <w:r>
        <w:t xml:space="preserve">Last-Mile Delivery Emissions = 0.17 tonne-km * 0.135 kg CO2e/tonne-km = 0.02 kg CO2e</w:t>
      </w:r>
    </w:p>
    <w:p>
      <w:pPr>
        <w:pStyle w:val="FirstParagraph"/>
      </w:pPr>
      <w:r>
        <w:rPr>
          <w:bCs/>
          <w:b/>
        </w:rPr>
        <w:t xml:space="preserve">Total Scope 3, Category 9 Emissions: 0.02 kg CO2e</w:t>
      </w:r>
    </w:p>
    <w:bookmarkEnd w:id="38"/>
    <w:bookmarkStart w:id="39" w:name="category-11-use-of-sold-products"/>
    <w:p>
      <w:pPr>
        <w:pStyle w:val="Heading4"/>
      </w:pPr>
      <w:r>
        <w:t xml:space="preserve">4.3.4. Category 11: Use of Sold Products</w:t>
      </w:r>
    </w:p>
    <w:p>
      <w:pPr>
        <w:pStyle w:val="FirstParagraph"/>
      </w:pPr>
      <w:r>
        <w:t xml:space="preserve">Energy consumption during the product\'s lifespan.</w:t>
      </w:r>
    </w:p>
    <w:p>
      <w:pPr>
        <w:numPr>
          <w:ilvl w:val="0"/>
          <w:numId w:val="1011"/>
        </w:numPr>
        <w:pStyle w:val="Compact"/>
      </w:pPr>
      <w:r>
        <w:t xml:space="preserve">Product Lifespan: 7 years</w:t>
      </w:r>
    </w:p>
    <w:p>
      <w:pPr>
        <w:numPr>
          <w:ilvl w:val="0"/>
          <w:numId w:val="1011"/>
        </w:numPr>
        <w:pStyle w:val="Compact"/>
      </w:pPr>
      <w:r>
        <w:t xml:space="preserve">Energy Consumption in Use: 8 kWh/year</w:t>
      </w:r>
    </w:p>
    <w:p>
      <w:pPr>
        <w:numPr>
          <w:ilvl w:val="0"/>
          <w:numId w:val="1011"/>
        </w:numPr>
        <w:pStyle w:val="Compact"/>
      </w:pPr>
      <w:r>
        <w:t xml:space="preserve">Total Energy Consumption over Lifespan: 7 years * 8 kWh/year = 56 kWh</w:t>
      </w:r>
    </w:p>
    <w:p>
      <w:pPr>
        <w:numPr>
          <w:ilvl w:val="0"/>
          <w:numId w:val="1011"/>
        </w:numPr>
        <w:pStyle w:val="Compact"/>
      </w:pPr>
      <w:r>
        <w:t xml:space="preserve">European Grid Emission Factor (2023): 0.211 kg CO2e/kWh</w:t>
      </w:r>
    </w:p>
    <w:p>
      <w:pPr>
        <w:numPr>
          <w:ilvl w:val="0"/>
          <w:numId w:val="1011"/>
        </w:numPr>
        <w:pStyle w:val="Compact"/>
      </w:pPr>
      <w:r>
        <w:t xml:space="preserve">Use Phase Emissions = 56 kWh * 0.211 kg CO2e/kWh = 11.82 kg CO2e</w:t>
      </w:r>
    </w:p>
    <w:p>
      <w:pPr>
        <w:pStyle w:val="FirstParagraph"/>
      </w:pPr>
      <w:r>
        <w:rPr>
          <w:bCs/>
          <w:b/>
        </w:rPr>
        <w:t xml:space="preserve">Total Scope 3, Category 11 Emissions: 11.82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Total product mass at EoL: 0.85 kg. Recyclability percentage: 75%.</w:t>
      </w:r>
    </w:p>
    <w:p>
      <w:pPr>
        <w:numPr>
          <w:ilvl w:val="0"/>
          <w:numId w:val="1012"/>
        </w:numPr>
        <w:pStyle w:val="Compact"/>
      </w:pPr>
      <w:r>
        <w:t xml:space="preserve">Mass Recycled: 0.85 kg * 0.75 = 0.6375 kg</w:t>
      </w:r>
    </w:p>
    <w:p>
      <w:pPr>
        <w:numPr>
          <w:ilvl w:val="0"/>
          <w:numId w:val="1012"/>
        </w:numPr>
        <w:pStyle w:val="Compact"/>
      </w:pPr>
      <w:r>
        <w:t xml:space="preserve">Mass Disposed (Landfill/Incineration): 0.85 kg * (1 - 0.75) = 0.2125 kg</w:t>
      </w:r>
    </w:p>
    <w:p>
      <w:pPr>
        <w:pStyle w:val="FirstParagraph"/>
      </w:pPr>
      <w:r>
        <w:rPr>
          <w:bCs/>
          <w:b/>
        </w:rPr>
        <w:t xml:space="preserve">Emissions from Recycling Processes:</w:t>
      </w:r>
    </w:p>
    <w:p>
      <w:pPr>
        <w:numPr>
          <w:ilvl w:val="0"/>
          <w:numId w:val="1013"/>
        </w:numPr>
        <w:pStyle w:val="Compact"/>
      </w:pPr>
      <w:r>
        <w:t xml:space="preserve">Illustrative Steel (0.5 kg of total product, 0.375 kg recycled): 0.375 kg * 0.022 kg CO2e/kg = 0.0083 kg CO2e</w:t>
      </w:r>
    </w:p>
    <w:p>
      <w:pPr>
        <w:numPr>
          <w:ilvl w:val="0"/>
          <w:numId w:val="1013"/>
        </w:numPr>
        <w:pStyle w:val="Compact"/>
      </w:pPr>
      <w:r>
        <w:t xml:space="preserve">Illustrative Plastic (0.2 kg of total product, 0.15 kg recycled): 0.15 kg * 0.202 kg CO2e/kg = 0.0303 kg CO2e</w:t>
      </w:r>
    </w:p>
    <w:p>
      <w:pPr>
        <w:numPr>
          <w:ilvl w:val="0"/>
          <w:numId w:val="1013"/>
        </w:numPr>
        <w:pStyle w:val="Compact"/>
      </w:pPr>
      <w:r>
        <w:t xml:space="preserve">Illustrative Aluminum (0.05 kg of total product, 0.0375 kg recycled): 0.0375 kg * 0.022 kg CO2e/kg = 0.0008 kg CO2e</w:t>
      </w:r>
    </w:p>
    <w:p>
      <w:pPr>
        <w:numPr>
          <w:ilvl w:val="0"/>
          <w:numId w:val="1013"/>
        </w:numPr>
        <w:pStyle w:val="Compact"/>
      </w:pPr>
      <w:r>
        <w:t xml:space="preserve">Illustrative Electronic Board (0.1 kg of total product, 0.075 kg recycled): 0.075 kg * 0.022 kg CO2e/kg = 0.0017 kg CO2e</w:t>
      </w:r>
    </w:p>
    <w:p>
      <w:pPr>
        <w:numPr>
          <w:ilvl w:val="0"/>
          <w:numId w:val="1013"/>
        </w:numPr>
        <w:pStyle w:val="Compact"/>
      </w:pPr>
      <w:r>
        <w:t xml:space="preserve">Subtotal Recycling Emissions: 0.0083 + 0.0303 + 0.0008 + 0.0017 = 0.0411 kg CO2e</w:t>
      </w:r>
    </w:p>
    <w:p>
      <w:pPr>
        <w:pStyle w:val="FirstParagraph"/>
      </w:pPr>
      <w:r>
        <w:rPr>
          <w:bCs/>
          <w:b/>
        </w:rPr>
        <w:t xml:space="preserve">Emissions from Disposal (Landfill):</w:t>
      </w:r>
    </w:p>
    <w:p>
      <w:pPr>
        <w:numPr>
          <w:ilvl w:val="0"/>
          <w:numId w:val="1014"/>
        </w:numPr>
        <w:pStyle w:val="Compact"/>
      </w:pPr>
      <w:r>
        <w:t xml:space="preserve">Mass Disposed: 0.2125 kg</w:t>
      </w:r>
    </w:p>
    <w:p>
      <w:pPr>
        <w:numPr>
          <w:ilvl w:val="0"/>
          <w:numId w:val="1014"/>
        </w:numPr>
        <w:pStyle w:val="Compact"/>
      </w:pPr>
      <w:r>
        <w:t xml:space="preserve">Assumption: All disposed mass goes to landfill, using a plastics landfill emission factor as a conservative proxy for mixed waste.</w:t>
      </w:r>
    </w:p>
    <w:p>
      <w:pPr>
        <w:numPr>
          <w:ilvl w:val="0"/>
          <w:numId w:val="1014"/>
        </w:numPr>
        <w:pStyle w:val="Compact"/>
      </w:pPr>
      <w:r>
        <w:t xml:space="preserve">Disposal Emissions = 0.2125 kg * 0.00888413 kg CO2e/kg = 0.0019 kg CO2e</w:t>
      </w:r>
    </w:p>
    <w:p>
      <w:pPr>
        <w:pStyle w:val="FirstParagraph"/>
      </w:pPr>
      <w:r>
        <w:rPr>
          <w:bCs/>
          <w:b/>
        </w:rPr>
        <w:t xml:space="preserve">Total Scope 3, Category 12 Emissions: 0.0411 + 0.0019 = 0.04 kg CO2e</w:t>
      </w:r>
    </w:p>
    <w:bookmarkEnd w:id="40"/>
    <w:bookmarkStart w:id="41" w:name="scope-3-compliance-and-2026-lsr-update"/>
    <w:p>
      <w:pPr>
        <w:pStyle w:val="Heading4"/>
      </w:pPr>
      <w:r>
        <w:t xml:space="preserve">4.3.6. Scope 3 Compliance and 2026 LSR Update</w:t>
      </w:r>
    </w:p>
    <w:p>
      <w:pPr>
        <w:pStyle w:val="FirstParagraph"/>
      </w:pPr>
      <w:r>
        <w:t xml:space="preserve">This analysis covers the most significant Scope 3 categories: purchased goods and services (materials), transportation (upstream and downstream), use of sold products, and end-of-life treatment. This comprehensive approach aims to achieve at least 95% coverage for Scope 3 reporting, aligning with 2026 requirements. The 2026 Land Sector and Removals (LSR) Standard is acknowledged. For a generic manufactured product like vsqotsrvtg, direct quantification of land use change or specific carbon removals (e.g., bio-based sequestration) is limited without more granular data on material origins and processing. However, the framework is ready to integrate such data if provided, particularly for bio-based materials or processes with direct land-use implications.</w:t>
      </w:r>
    </w:p>
    <w:p>
      <w:r>
        <w:pict>
          <v:rect style="width:0;height:1.5pt" o:hralign="center" o:hrstd="t" o:hr="t"/>
        </w:pict>
      </w:r>
    </w:p>
    <w:bookmarkEnd w:id="41"/>
    <w:bookmarkEnd w:id="42"/>
    <w:bookmarkEnd w:id="43"/>
    <w:bookmarkStart w:id="46" w:name="pcf-results-and-hotspot-analysis"/>
    <w:p>
      <w:pPr>
        <w:pStyle w:val="Heading2"/>
      </w:pPr>
      <w:r>
        <w:t xml:space="preserve">5. PCF Results and Hotspot Analysis</w:t>
      </w:r>
    </w:p>
    <w:p>
      <w:pPr>
        <w:pStyle w:val="FirstParagraph"/>
      </w:pPr>
      <w:r>
        <w:t xml:space="preserve">The total Product Carbon Footprint for one functional unit of</w:t>
      </w:r>
      <w:r>
        <w:t xml:space="preserve"> </w:t>
      </w:r>
      <w:r>
        <w:rPr>
          <w:bCs/>
          <w:b/>
        </w:rPr>
        <w:t xml:space="preserve">vsqotsrvtg</w:t>
      </w:r>
      <w:r>
        <w:t xml:space="preserve"> </w:t>
      </w:r>
      <w:r>
        <w:t xml:space="preserve">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Emissions (kg CO2e per Functional 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 Manufacturing)</w:t>
            </w:r>
          </w:p>
        </w:tc>
        <w:tc>
          <w:tcPr/>
          <w:p>
            <w:pPr>
              <w:pStyle w:val="Compact"/>
              <w:jc w:val="left"/>
            </w:pPr>
            <w:r>
              <w:t xml:space="preserve">2.79</w:t>
            </w:r>
          </w:p>
        </w:tc>
        <w:tc>
          <w:tcPr/>
          <w:p>
            <w:pPr>
              <w:pStyle w:val="Compact"/>
              <w:jc w:val="left"/>
            </w:pPr>
            <w:r>
              <w:t xml:space="preserve">17.95%</w:t>
            </w:r>
          </w:p>
        </w:tc>
      </w:tr>
      <w:tr>
        <w:tc>
          <w:tcPr/>
          <w:p>
            <w:pPr>
              <w:pStyle w:val="Compact"/>
              <w:jc w:val="left"/>
            </w:pPr>
            <w:r>
              <w:t xml:space="preserve">Scope 3, Category 1 (Purchased Goods and Services - Materials)</w:t>
            </w:r>
          </w:p>
        </w:tc>
        <w:tc>
          <w:tcPr/>
          <w:p>
            <w:pPr>
              <w:pStyle w:val="Compact"/>
              <w:jc w:val="left"/>
            </w:pPr>
            <w:r>
              <w:t xml:space="preserve">2.55</w:t>
            </w:r>
          </w:p>
        </w:tc>
        <w:tc>
          <w:tcPr/>
          <w:p>
            <w:pPr>
              <w:pStyle w:val="Compact"/>
              <w:jc w:val="left"/>
            </w:pPr>
            <w:r>
              <w:t xml:space="preserve">16.40%</w:t>
            </w:r>
          </w:p>
        </w:tc>
      </w:tr>
      <w:tr>
        <w:tc>
          <w:tcPr/>
          <w:p>
            <w:pPr>
              <w:pStyle w:val="Compact"/>
              <w:jc w:val="left"/>
            </w:pPr>
            <w:r>
              <w:t xml:space="preserve">Scope 3, Category 4 (Upstream Transportation)</w:t>
            </w:r>
          </w:p>
        </w:tc>
        <w:tc>
          <w:tcPr/>
          <w:p>
            <w:pPr>
              <w:pStyle w:val="Compact"/>
              <w:jc w:val="left"/>
            </w:pPr>
            <w:r>
              <w:t xml:space="preserve">0.16</w:t>
            </w:r>
          </w:p>
        </w:tc>
        <w:tc>
          <w:tcPr/>
          <w:p>
            <w:pPr>
              <w:pStyle w:val="Compact"/>
              <w:jc w:val="left"/>
            </w:pPr>
            <w:r>
              <w:t xml:space="preserve">1.03%</w:t>
            </w:r>
          </w:p>
        </w:tc>
      </w:tr>
      <w:tr>
        <w:tc>
          <w:tcPr/>
          <w:p>
            <w:pPr>
              <w:pStyle w:val="Compact"/>
              <w:jc w:val="left"/>
            </w:pPr>
            <w:r>
              <w:t xml:space="preserve">Scope 3, Category 9 (Downstream Transportation)</w:t>
            </w:r>
          </w:p>
        </w:tc>
        <w:tc>
          <w:tcPr/>
          <w:p>
            <w:pPr>
              <w:pStyle w:val="Compact"/>
              <w:jc w:val="left"/>
            </w:pPr>
            <w:r>
              <w:t xml:space="preserve">0.02</w:t>
            </w:r>
          </w:p>
        </w:tc>
        <w:tc>
          <w:tcPr/>
          <w:p>
            <w:pPr>
              <w:pStyle w:val="Compact"/>
              <w:jc w:val="left"/>
            </w:pPr>
            <w:r>
              <w:t xml:space="preserve">0.13%</w:t>
            </w:r>
          </w:p>
        </w:tc>
      </w:tr>
      <w:tr>
        <w:tc>
          <w:tcPr/>
          <w:p>
            <w:pPr>
              <w:pStyle w:val="Compact"/>
              <w:jc w:val="left"/>
            </w:pPr>
            <w:r>
              <w:t xml:space="preserve">Scope 3, Category 11 (Use of Sold Products)</w:t>
            </w:r>
          </w:p>
        </w:tc>
        <w:tc>
          <w:tcPr/>
          <w:p>
            <w:pPr>
              <w:pStyle w:val="Compact"/>
              <w:jc w:val="left"/>
            </w:pPr>
            <w:r>
              <w:t xml:space="preserve">11.82</w:t>
            </w:r>
          </w:p>
        </w:tc>
        <w:tc>
          <w:tcPr/>
          <w:p>
            <w:pPr>
              <w:pStyle w:val="Compact"/>
              <w:jc w:val="left"/>
            </w:pPr>
            <w:r>
              <w:t xml:space="preserve">76.02%</w:t>
            </w:r>
          </w:p>
        </w:tc>
      </w:tr>
      <w:tr>
        <w:tc>
          <w:tcPr/>
          <w:p>
            <w:pPr>
              <w:pStyle w:val="Compact"/>
              <w:jc w:val="left"/>
            </w:pPr>
            <w:r>
              <w:t xml:space="preserve">Scope 3, Category 12 (End-of-Life Treatment)</w:t>
            </w:r>
          </w:p>
        </w:tc>
        <w:tc>
          <w:tcPr/>
          <w:p>
            <w:pPr>
              <w:pStyle w:val="Compact"/>
              <w:jc w:val="left"/>
            </w:pPr>
            <w:r>
              <w:t xml:space="preserve">0.04</w:t>
            </w:r>
          </w:p>
        </w:tc>
        <w:tc>
          <w:tcPr/>
          <w:p>
            <w:pPr>
              <w:pStyle w:val="Compact"/>
              <w:jc w:val="left"/>
            </w:pPr>
            <w:r>
              <w:t xml:space="preserve">0.26%</w:t>
            </w:r>
          </w:p>
        </w:tc>
      </w:tr>
      <w:tr>
        <w:tc>
          <w:tcPr/>
          <w:p>
            <w:pPr>
              <w:pStyle w:val="Compact"/>
              <w:jc w:val="left"/>
            </w:pPr>
            <w:r>
              <w:t xml:space="preserve">Total Product Carbon Footprint</w:t>
            </w:r>
          </w:p>
        </w:tc>
        <w:tc>
          <w:tcPr/>
          <w:p>
            <w:pPr>
              <w:pStyle w:val="Compact"/>
              <w:jc w:val="left"/>
            </w:pPr>
            <w:r>
              <w:t xml:space="preserve">17.38</w:t>
            </w:r>
          </w:p>
        </w:tc>
        <w:tc>
          <w:tcPr/>
          <w:p>
            <w:pPr>
              <w:pStyle w:val="Compact"/>
              <w:jc w:val="left"/>
            </w:pPr>
            <w:r>
              <w:t xml:space="preserve">100.00%</w:t>
            </w:r>
          </w:p>
        </w:tc>
      </w:tr>
    </w:tbl>
    <w:p>
      <w:pPr>
        <w:pStyle w:val="BodyText"/>
      </w:pPr>
      <w:r>
        <w:rPr>
          <w:iCs/>
          <w:i/>
        </w:rPr>
        <w:t xml:space="preserve">Note: Percentages may not sum to 100% due to rounding.</w:t>
      </w:r>
    </w:p>
    <w:bookmarkStart w:id="44" w:name="hotspot-identification"/>
    <w:p>
      <w:pPr>
        <w:pStyle w:val="Heading3"/>
      </w:pPr>
      <w:r>
        <w:t xml:space="preserve">5.1. Hotspot Identification</w:t>
      </w:r>
    </w:p>
    <w:p>
      <w:pPr>
        <w:pStyle w:val="FirstParagraph"/>
      </w:pPr>
      <w:r>
        <w:t xml:space="preserve">The primary emission hotspot for the</w:t>
      </w:r>
      <w:r>
        <w:t xml:space="preserve"> </w:t>
      </w:r>
      <w:r>
        <w:rPr>
          <w:bCs/>
          <w:b/>
        </w:rPr>
        <w:t xml:space="preserve">vsqotsrvtg</w:t>
      </w:r>
      <w:r>
        <w:t xml:space="preserve"> </w:t>
      </w:r>
      <w:r>
        <w:t xml:space="preserve">product is clearly identified within the</w:t>
      </w:r>
      <w:r>
        <w:t xml:space="preserve"> </w:t>
      </w:r>
      <w:r>
        <w:rPr>
          <w:bCs/>
          <w:b/>
        </w:rPr>
        <w:t xml:space="preserve">Use of Sold Products (Scope 3, Category 11)</w:t>
      </w:r>
      <w:r>
        <w:t xml:space="preserve">, accounting for approximately 76.02% of the total PCF. This is largely driven by the product\'s energy consumption over its 7-year lifespan.</w:t>
      </w:r>
    </w:p>
    <w:p>
      <w:pPr>
        <w:pStyle w:val="BodyText"/>
      </w:pPr>
      <w:r>
        <w:t xml:space="preserve">Other significant contributors include:</w:t>
      </w:r>
    </w:p>
    <w:p>
      <w:pPr>
        <w:numPr>
          <w:ilvl w:val="0"/>
          <w:numId w:val="1015"/>
        </w:numPr>
        <w:pStyle w:val="Compact"/>
      </w:pPr>
      <w:r>
        <w:rPr>
          <w:bCs/>
          <w:b/>
        </w:rPr>
        <w:t xml:space="preserve">Scope 2 Emissions (Purchased Energy - Manufacturing):</w:t>
      </w:r>
      <w:r>
        <w:t xml:space="preserve"> </w:t>
      </w:r>
      <w:r>
        <w:t xml:space="preserve">17.95%, reflecting the energy intensity of production in China.</w:t>
      </w:r>
    </w:p>
    <w:p>
      <w:pPr>
        <w:numPr>
          <w:ilvl w:val="0"/>
          <w:numId w:val="1015"/>
        </w:numPr>
        <w:pStyle w:val="Compact"/>
      </w:pPr>
      <w:r>
        <w:rPr>
          <w:bCs/>
          <w:b/>
        </w:rPr>
        <w:t xml:space="preserve">Scope 3, Category 1 (Purchased Goods and Services - Materials):</w:t>
      </w:r>
      <w:r>
        <w:t xml:space="preserve"> </w:t>
      </w:r>
      <w:r>
        <w:t xml:space="preserve">16.40%, indicating the importance of sustainable material sourcing.</w:t>
      </w:r>
    </w:p>
    <w:p>
      <w:pPr>
        <w:pStyle w:val="FirstParagraph"/>
      </w:pPr>
      <w:r>
        <w:t xml:space="preserve">Upstream and downstream transportation, as well as End-of-Life treatment, represent relatively smaller portions of the overall footprint but still offer areas for optimization.</w:t>
      </w:r>
    </w:p>
    <w:bookmarkEnd w:id="44"/>
    <w:bookmarkStart w:id="45" w:name="reliability-and-data-limitations"/>
    <w:p>
      <w:pPr>
        <w:pStyle w:val="Heading3"/>
      </w:pPr>
      <w:r>
        <w:t xml:space="preserve">5.2. Reliability and Data Limitations</w:t>
      </w:r>
    </w:p>
    <w:p>
      <w:pPr>
        <w:pStyle w:val="FirstParagraph"/>
      </w:pPr>
      <w:r>
        <w:t xml:space="preserve">The reliability of this PCF analysis is based on a combination of provided primary parameters and carefully selected secondary emission factors from reputable sources (e.g., Ecoinvent/DEFRA equivalents, IEA, EPA, GLEC).</w:t>
      </w:r>
      <w:r>
        <w:t xml:space="preserve"> </w:t>
      </w:r>
      <w:r>
        <w:t xml:space="preserve">Key assumptions and limitations include:</w:t>
      </w:r>
    </w:p>
    <w:p>
      <w:pPr>
        <w:numPr>
          <w:ilvl w:val="0"/>
          <w:numId w:val="1016"/>
        </w:numPr>
        <w:pStyle w:val="Compact"/>
      </w:pPr>
      <w:r>
        <w:t xml:space="preserve">The detailed Bill of Materials (\'xteilukd\') was provided as a placeholder string, necessitating the use of illustrative BOM data and associated emission factors for calculation. Actual material impacts would require precise, product-specific BOM data.</w:t>
      </w:r>
    </w:p>
    <w:p>
      <w:pPr>
        <w:numPr>
          <w:ilvl w:val="0"/>
          <w:numId w:val="1016"/>
        </w:numPr>
        <w:pStyle w:val="Compact"/>
      </w:pPr>
      <w:r>
        <w:t xml:space="preserve">Generic interpretations were made for \'Select Mode\' and \'Delivery Type\' for transportation, and typical distances were assumed for last-mile delivery.</w:t>
      </w:r>
    </w:p>
    <w:p>
      <w:pPr>
        <w:numPr>
          <w:ilvl w:val="0"/>
          <w:numId w:val="1016"/>
        </w:numPr>
        <w:pStyle w:val="Compact"/>
      </w:pPr>
      <w:r>
        <w:t xml:space="preserve">Specific breakdown of materials for recycling and disposal at End-of-Life was not provided, leading to simplified assumptions for applying EoL emission factors based on general material categories.</w:t>
      </w:r>
    </w:p>
    <w:p>
      <w:pPr>
        <w:numPr>
          <w:ilvl w:val="0"/>
          <w:numId w:val="1016"/>
        </w:numPr>
        <w:pStyle w:val="Compact"/>
      </w:pPr>
      <w:r>
        <w:t xml:space="preserve">Scope 1 emissions were assumed to be negligible without specific data, which might not be the case in a real-world scenario.</w:t>
      </w:r>
    </w:p>
    <w:p>
      <w:pPr>
        <w:numPr>
          <w:ilvl w:val="0"/>
          <w:numId w:val="1016"/>
        </w:numPr>
        <w:pStyle w:val="Compact"/>
      </w:pPr>
      <w:r>
        <w:t xml:space="preserve">The 2026 LSR Standard was acknowledged, but its full quantification was limited by the generic nature of the product and lack of specific land-use related material data.</w:t>
      </w:r>
    </w:p>
    <w:p>
      <w:r>
        <w:pict>
          <v:rect style="width:0;height:1.5pt" o:hralign="center" o:hrstd="t" o:hr="t"/>
        </w:pict>
      </w:r>
    </w:p>
    <w:bookmarkEnd w:id="45"/>
    <w:bookmarkEnd w:id="46"/>
    <w:bookmarkStart w:id="47" w:name="recommendations-for-ghg-reduction"/>
    <w:p>
      <w:pPr>
        <w:pStyle w:val="Heading2"/>
      </w:pPr>
      <w:r>
        <w:t xml:space="preserve">6. Recommendations for GHG Reduction</w:t>
      </w:r>
    </w:p>
    <w:p>
      <w:pPr>
        <w:pStyle w:val="FirstParagraph"/>
      </w:pPr>
      <w:r>
        <w:t xml:space="preserve">Based on the hotspot analysis, the following recommendations are provided to</w:t>
      </w:r>
      <w:r>
        <w:t xml:space="preserve"> </w:t>
      </w:r>
      <w:r>
        <w:rPr>
          <w:bCs/>
          <w:b/>
        </w:rPr>
        <w:t xml:space="preserve">ouvwyqxvwn</w:t>
      </w:r>
      <w:r>
        <w:t xml:space="preserve"> </w:t>
      </w:r>
      <w:r>
        <w:t xml:space="preserve">for reducing the carbon footprint of</w:t>
      </w:r>
      <w:r>
        <w:t xml:space="preserve"> </w:t>
      </w:r>
      <w:r>
        <w:rPr>
          <w:bCs/>
          <w:b/>
        </w:rPr>
        <w:t xml:space="preserve">vsqotsrvtg</w:t>
      </w:r>
      <w:r>
        <w:t xml:space="preserve">:</w:t>
      </w:r>
    </w:p>
    <w:p>
      <w:pPr>
        <w:numPr>
          <w:ilvl w:val="0"/>
          <w:numId w:val="1017"/>
        </w:numPr>
        <w:pStyle w:val="Compact"/>
      </w:pPr>
      <w:r>
        <w:rPr>
          <w:bCs/>
          <w:b/>
        </w:rPr>
        <w:t xml:space="preserve">Use Phase Optimization:</w:t>
      </w:r>
      <w:r>
        <w:t xml:space="preserve"> </w:t>
      </w:r>
      <w:r>
        <w:t xml:space="preserve">Given its dominant impact, focus on reducing the product\'s energy consumption during use. This could involve exploring more energy-efficient designs, integrating smart energy-saving features, or promoting behavioral changes in consumers.</w:t>
      </w:r>
    </w:p>
    <w:p>
      <w:pPr>
        <w:numPr>
          <w:ilvl w:val="0"/>
          <w:numId w:val="1017"/>
        </w:numPr>
        <w:pStyle w:val="Compact"/>
      </w:pPr>
      <w:r>
        <w:rPr>
          <w:bCs/>
          <w:b/>
        </w:rPr>
        <w:t xml:space="preserve">Renewable Energy Sourcing:</w:t>
      </w:r>
      <w:r>
        <w:t xml:space="preserve"> </w:t>
      </w:r>
      <w:r>
        <w:t xml:space="preserve">While 70% renewable energy is used in manufacturing, increasing this percentage to 100% or procuring renewable energy with high-quality attributes would further reduce Scope 2 emissions.</w:t>
      </w:r>
    </w:p>
    <w:p>
      <w:pPr>
        <w:numPr>
          <w:ilvl w:val="0"/>
          <w:numId w:val="1017"/>
        </w:numPr>
        <w:pStyle w:val="Compact"/>
      </w:pPr>
      <w:r>
        <w:rPr>
          <w:bCs/>
          <w:b/>
        </w:rPr>
        <w:t xml:space="preserve">Sustainable Material Sourcing:</w:t>
      </w:r>
      <w:r>
        <w:t xml:space="preserve"> </w:t>
      </w:r>
      <w:r>
        <w:t xml:space="preserve">Investigate opportunities to use lower-carbon alternative materials or materials with higher recycled content for components like the plastic housing and steel casing. Working with suppliers to get primary, cradle-to-gate emission data for all BOM items is crucial for high-accuracy.</w:t>
      </w:r>
    </w:p>
    <w:p>
      <w:pPr>
        <w:numPr>
          <w:ilvl w:val="0"/>
          <w:numId w:val="1017"/>
        </w:numPr>
        <w:pStyle w:val="Compact"/>
      </w:pPr>
      <w:r>
        <w:rPr>
          <w:bCs/>
          <w:b/>
        </w:rPr>
        <w:t xml:space="preserve">Circular Economy Initiatives:</w:t>
      </w:r>
      <w:r>
        <w:t xml:space="preserve"> </w:t>
      </w:r>
      <w:r>
        <w:t xml:space="preserve">Strengthen and expand the \'wznpgtsele\' circular/take-back programs to maximize material recovery and reuse, going beyond just recycling to reduce the demand for virgin materials and associated upstream emissions. Enhanced take-back schemes can also improve the quality and quantity of materials available for closed-loop recycling.</w:t>
      </w:r>
    </w:p>
    <w:p>
      <w:pPr>
        <w:numPr>
          <w:ilvl w:val="0"/>
          <w:numId w:val="1017"/>
        </w:numPr>
        <w:pStyle w:val="Compact"/>
      </w:pPr>
      <w:r>
        <w:rPr>
          <w:bCs/>
          <w:b/>
        </w:rPr>
        <w:t xml:space="preserve">Transportation Efficiency:</w:t>
      </w:r>
      <w:r>
        <w:t xml:space="preserve"> </w:t>
      </w:r>
      <w:r>
        <w:t xml:space="preserve">Optimize logistics for both inbound and outbound transport. This could include shifting to lower-emission transport modes (e.g., rail or sea where feasible for longer distances), optimizing load factors, and collaborating with logistics partners on fleet efficiency.</w:t>
      </w:r>
    </w:p>
    <w:p>
      <w:r>
        <w:pict>
          <v:rect style="width:0;height:1.5pt" o:hralign="center" o:hrstd="t" o:hr="t"/>
        </w:pict>
      </w:r>
    </w:p>
    <w:p>
      <w:pPr>
        <w:pStyle w:val="FirstParagraph"/>
      </w:pPr>
      <w:r>
        <w:t xml:space="preserve">Confidential - Internal Use Only | 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vsqotsrvtg</dc:title>
  <dc:creator/>
  <dc:description>Detailed Product Carbon Footprint (PCF) analysis for vsqotsrvtg, following GHG Protocol standards and 2026 LSR Update, performed by Senior Sustainability Consultant vgwnvzozdq for ouvwyqxvwn.</dc:description>
  <dc:language>en</dc:language>
  <cp:keywords/>
  <dcterms:created xsi:type="dcterms:W3CDTF">2026-05-30T20:13:44Z</dcterms:created>
  <dcterms:modified xsi:type="dcterms:W3CDTF">2026-05-30T20:13:44Z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