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uzfgixomgw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uzfgixomgw</w:t>
      </w:r>
    </w:p>
    <w:p>
      <w:pPr>
        <w:pStyle w:val="BodyText"/>
      </w:pPr>
      <w:r>
        <w:rPr>
          <w:bCs/>
          <w:b/>
        </w:rPr>
        <w:t xml:space="preserve">Company Name:</w:t>
      </w:r>
      <w:r>
        <w:t xml:space="preserve"> </w:t>
      </w:r>
      <w:r>
        <w:t xml:space="preserve">fjoumgtvus</w:t>
      </w:r>
    </w:p>
    <w:p>
      <w:pPr>
        <w:pStyle w:val="BodyText"/>
      </w:pPr>
      <w:r>
        <w:rPr>
          <w:bCs/>
          <w:b/>
        </w:rPr>
        <w:t xml:space="preserve">Senior Sustainability Consultant:</w:t>
      </w:r>
      <w:r>
        <w:t xml:space="preserve"> </w:t>
      </w:r>
      <w:r>
        <w:t xml:space="preserve">fiihsqvmkq</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industry standards, and specified parameters.</w:t>
      </w:r>
      <w:r>
        <w:rPr>
          <w:iCs/>
          <w:i/>
        </w:rPr>
        <w:t xml:space="preserve"> </w:t>
      </w:r>
      <w:r>
        <w:rPr>
          <w:iCs/>
          <w:i/>
        </w:rPr>
        <w:t xml:space="preserve">While every effort has been made to ensure accuracy, actual impacts may vary based on real-world conditions</w:t>
      </w:r>
      <w:r>
        <w:rPr>
          <w:iCs/>
          <w:i/>
        </w:rPr>
        <w:t xml:space="preserve"> </w:t>
      </w:r>
      <w:r>
        <w:rPr>
          <w:iCs/>
          <w:i/>
        </w:rPr>
        <w:t xml:space="preserve">and specific data availability. Certain data points have been simulated or estimated based on typical industry averages</w:t>
      </w:r>
      <w:r>
        <w:rPr>
          <w:iCs/>
          <w:i/>
        </w:rPr>
        <w:t xml:space="preserve"> </w:t>
      </w:r>
      <w:r>
        <w:rPr>
          <w:iCs/>
          <w:i/>
        </w:rPr>
        <w:t xml:space="preserve">where specific values were not available or were provided as placeholders.</w:t>
      </w:r>
    </w:p>
    <w:bookmarkEnd w:id="20"/>
    <w:bookmarkStart w:id="22" w:name="product-carbon-footprint-analysis"/>
    <w:p>
      <w:pPr>
        <w:pStyle w:val="Heading1"/>
      </w:pPr>
      <w:r>
        <w:t xml:space="preserve">Product Carbon Footprint Analysis</w:t>
      </w:r>
    </w:p>
    <w:bookmarkStart w:id="21" w:name="product-uzfgixomgw"/>
    <w:p>
      <w:pPr>
        <w:pStyle w:val="Heading2"/>
      </w:pPr>
      <w:r>
        <w:t xml:space="preserve">Product: uzfgixomgw</w:t>
      </w:r>
    </w:p>
    <w:p>
      <w:pPr>
        <w:pStyle w:val="FirstParagraph"/>
      </w:pPr>
      <w:r>
        <w:t xml:space="preserve">Generated Date: May 22, 2026</w:t>
      </w:r>
    </w:p>
    <w:bookmarkEnd w:id="21"/>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uzfgixomgw</w:t>
      </w:r>
      <w:r>
        <w:t xml:space="preserve">, manufactured by</w:t>
      </w:r>
      <w:r>
        <w:t xml:space="preserve"> </w:t>
      </w:r>
      <w:r>
        <w:rPr>
          <w:bCs/>
          <w:b/>
        </w:rPr>
        <w:t xml:space="preserve">fjoumgtvus</w:t>
      </w:r>
      <w:r>
        <w:t xml:space="preserve">, conducted by Senior Sustainability Consultant</w:t>
      </w:r>
      <w:r>
        <w:t xml:space="preserve"> </w:t>
      </w:r>
      <w:r>
        <w:rPr>
          <w:bCs/>
          <w:b/>
        </w:rPr>
        <w:t xml:space="preserve">fiihsqvmkq</w:t>
      </w:r>
      <w:r>
        <w:t xml:space="preserve">. The analysis strictly adheres to the GHG Protocol, including the 2026 Land Sector and Removals (LSR) Standard update, ensuring comprehensive Scope 3 coverage of at least 95%. The system boundary is defined as "factory_gate" for primary calculations, with significant consideration for upstream (materials, transport) and downstream (use, end-of-life) impacts to meet full lifecycle assessment principles. The geographic scope focuses on final production in China with a supply chain emphasis on Europe.</w:t>
      </w:r>
    </w:p>
    <w:p>
      <w:pPr>
        <w:pStyle w:val="BodyText"/>
      </w:pPr>
      <w:r>
        <w:t xml:space="preserve">Key findings indicate the primary emissions hotspots across the product\'s lifecycle, from raw material extraction and processing, through manufacturing, transportation, the use phase, and end-of-life scenarios. Recommendations for emission reduction are also highlighted, leveraging specified parameters such as renewable energy usage, recyclability, and circular economy programs.</w:t>
      </w:r>
    </w:p>
    <w:p>
      <w:r>
        <w:pict>
          <v:rect style="width:0;height:1.5pt" o:hralign="center" o:hrstd="t" o:hr="t"/>
        </w:pict>
      </w:r>
    </w:p>
    <w:bookmarkEnd w:id="23"/>
    <w:bookmarkStart w:id="29" w:name="methodology-and-scope-definition"/>
    <w:p>
      <w:pPr>
        <w:pStyle w:val="Heading2"/>
      </w:pPr>
      <w:r>
        <w:t xml:space="preserve">2. Methodology and Scope Definition</w:t>
      </w:r>
    </w:p>
    <w:bookmarkStart w:id="24" w:name="accounting-standard"/>
    <w:p>
      <w:pPr>
        <w:pStyle w:val="Heading3"/>
      </w:pPr>
      <w:r>
        <w:t xml:space="preserve">2.1. Accounting Standard</w:t>
      </w:r>
    </w:p>
    <w:p>
      <w:pPr>
        <w:pStyle w:val="FirstParagraph"/>
      </w:pPr>
      <w:r>
        <w:t xml:space="preserve">This Product Carbon Footprint (PCF) analysis is performed in strict accordance with the</w:t>
      </w:r>
      <w:r>
        <w:t xml:space="preserve"> </w:t>
      </w:r>
      <w:r>
        <w:rPr>
          <w:bCs/>
          <w:b/>
        </w:rPr>
        <w:t xml:space="preserve">GHG Protocol</w:t>
      </w:r>
      <w:r>
        <w:t xml:space="preserve">, the most widely used international accounting tool for quantifying greenhouse gas emissions. Emissions are categorized into Scope 1 (direct emissions from owned or controlled sources), Scope 2 (indirect emissions from the generation of purchased energy), and Scope 3 (all other indirect emissions that occur in a company\'s value chain).</w:t>
      </w:r>
    </w:p>
    <w:p>
      <w:pPr>
        <w:pStyle w:val="BodyText"/>
      </w:pPr>
      <w:r>
        <w:t xml:space="preserve">A key update for this analysis is the application of the</w:t>
      </w:r>
      <w:r>
        <w:t xml:space="preserve"> </w:t>
      </w:r>
      <w:r>
        <w:rPr>
          <w:bCs/>
          <w:b/>
        </w:rPr>
        <w:t xml:space="preserve">2026 Land Sector and Removals (LSR) Standard</w:t>
      </w:r>
      <w:r>
        <w:t xml:space="preserve">. This standard allows for a more accurate accounting of emissions and removals from land use, land-use change, and forestry within the product\'s value chain, especially relevant for bio-based materials. For this report, while specific land-use data for materials is not provided, the framework for accounting such impacts (e.g., biogenic carbon, carbon sequestration) is acknowledged and would be integrated with primary data.</w:t>
      </w:r>
    </w:p>
    <w:p>
      <w:pPr>
        <w:pStyle w:val="BodyText"/>
      </w:pPr>
      <w:r>
        <w:t xml:space="preserve">Furthermore, particular emphasis has been placed on achieving a minimum of</w:t>
      </w:r>
      <w:r>
        <w:t xml:space="preserve"> </w:t>
      </w:r>
      <w:r>
        <w:rPr>
          <w:bCs/>
          <w:b/>
        </w:rPr>
        <w:t xml:space="preserve">95% coverage for Scope 3 reporting</w:t>
      </w:r>
      <w:r>
        <w:t xml:space="preserve">, aligning with stringent 2026 requirements, to provide a holistic view of the product\'s environmental impact across its entire value chain.</w:t>
      </w:r>
    </w:p>
    <w:bookmarkEnd w:id="24"/>
    <w:bookmarkStart w:id="25" w:name="functional-unit"/>
    <w:p>
      <w:pPr>
        <w:pStyle w:val="Heading3"/>
      </w:pPr>
      <w:r>
        <w:t xml:space="preserve">2.2. Functional Unit</w:t>
      </w:r>
    </w:p>
    <w:p>
      <w:pPr>
        <w:pStyle w:val="FirstParagraph"/>
      </w:pPr>
      <w:r>
        <w:t xml:space="preserve">The defined functional unit for this analysis is</w:t>
      </w:r>
      <w:r>
        <w:t xml:space="preserve"> </w:t>
      </w:r>
      <w:r>
        <w:rPr>
          <w:bCs/>
          <w:b/>
        </w:rPr>
        <w:t xml:space="preserve">1.0 unit of uzfgixomgw</w:t>
      </w:r>
      <w:r>
        <w:t xml:space="preserve">. This serves as the reference basis to which all input and output data are normalized, allowing for a consistent and comparable assessment of the product\'s environmental performance.</w:t>
      </w:r>
    </w:p>
    <w:bookmarkEnd w:id="25"/>
    <w:bookmarkStart w:id="26" w:name="system-boundary"/>
    <w:p>
      <w:pPr>
        <w:pStyle w:val="Heading3"/>
      </w:pPr>
      <w:r>
        <w:t xml:space="preserve">2.3. System Boundary</w:t>
      </w:r>
    </w:p>
    <w:p>
      <w:pPr>
        <w:pStyle w:val="FirstParagraph"/>
      </w:pPr>
      <w:r>
        <w:t xml:space="preserve">The primary system boundary for the initial calculation of the manufacturing phase is</w:t>
      </w:r>
      <w:r>
        <w:t xml:space="preserve"> </w:t>
      </w:r>
      <w:r>
        <w:rPr>
          <w:bCs/>
          <w:b/>
        </w:rPr>
        <w:t xml:space="preserve">"factory_gate"</w:t>
      </w:r>
      <w:r>
        <w:t xml:space="preserve">. This encompasses all processes from raw material acquisition (cradle) up to the point the finished product leaves the manufacturing facility. However, to achieve full Scope 3 compliance and provide a comprehensive lifecycle view, the analysis extends beyond the factory gate to include upstream logistics, the use phase, and end-of-life scenarios (cradle-to-grave approach).</w:t>
      </w:r>
    </w:p>
    <w:p>
      <w:pPr>
        <w:pStyle w:val="BodyText"/>
      </w:pPr>
      <w:r>
        <w:t xml:space="preserve">**Included Stages:**</w:t>
      </w:r>
    </w:p>
    <w:p>
      <w:pPr>
        <w:numPr>
          <w:ilvl w:val="0"/>
          <w:numId w:val="1001"/>
        </w:numPr>
        <w:pStyle w:val="Compact"/>
      </w:pPr>
      <w:r>
        <w:t xml:space="preserve">Raw Material Acquisition &amp; Pre-processing (Cradle)</w:t>
      </w:r>
    </w:p>
    <w:p>
      <w:pPr>
        <w:numPr>
          <w:ilvl w:val="0"/>
          <w:numId w:val="1001"/>
        </w:numPr>
        <w:pStyle w:val="Compact"/>
      </w:pPr>
      <w:r>
        <w:t xml:space="preserve">Manufacturing/Production</w:t>
      </w:r>
    </w:p>
    <w:p>
      <w:pPr>
        <w:numPr>
          <w:ilvl w:val="0"/>
          <w:numId w:val="1001"/>
        </w:numPr>
        <w:pStyle w:val="Compact"/>
      </w:pPr>
      <w:r>
        <w:t xml:space="preserve">Upstream Transportation (to factory)</w:t>
      </w:r>
    </w:p>
    <w:p>
      <w:pPr>
        <w:numPr>
          <w:ilvl w:val="0"/>
          <w:numId w:val="1001"/>
        </w:numPr>
        <w:pStyle w:val="Compact"/>
      </w:pPr>
      <w:r>
        <w:t xml:space="preserve">Downstream Transportation (to customer)</w:t>
      </w:r>
    </w:p>
    <w:p>
      <w:pPr>
        <w:numPr>
          <w:ilvl w:val="0"/>
          <w:numId w:val="1001"/>
        </w:numPr>
        <w:pStyle w:val="Compact"/>
      </w:pPr>
      <w:r>
        <w:t xml:space="preserve">Use Phase</w:t>
      </w:r>
    </w:p>
    <w:p>
      <w:pPr>
        <w:numPr>
          <w:ilvl w:val="0"/>
          <w:numId w:val="1001"/>
        </w:numPr>
        <w:pStyle w:val="Compact"/>
      </w:pPr>
      <w:r>
        <w:t xml:space="preserve">End-of-Life (Disposal, Recycling, Recovery)</w:t>
      </w:r>
    </w:p>
    <w:bookmarkEnd w:id="26"/>
    <w:bookmarkStart w:id="27" w:name="geographic-scope"/>
    <w:p>
      <w:pPr>
        <w:pStyle w:val="Heading3"/>
      </w:pPr>
      <w:r>
        <w:t xml:space="preserve">2.4.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Use Phase/End-of-Life Assumption:</w:t>
      </w:r>
      <w:r>
        <w:t xml:space="preserve"> </w:t>
      </w:r>
      <w:r>
        <w:t xml:space="preserve">Global average (considering diverse user locations) or as specified for specific parameters.</w:t>
      </w:r>
    </w:p>
    <w:bookmarkEnd w:id="27"/>
    <w:bookmarkStart w:id="28" w:name="allocation"/>
    <w:p>
      <w:pPr>
        <w:pStyle w:val="Heading3"/>
      </w:pPr>
      <w:r>
        <w:t xml:space="preserve">2.5. Allocation</w:t>
      </w:r>
    </w:p>
    <w:p>
      <w:pPr>
        <w:pStyle w:val="FirstParagraph"/>
      </w:pPr>
      <w:r>
        <w:t xml:space="preserve">Emissions are allocated directly to the functional unit of uzfgixomgw. Where co-production or multi-output processes occur, mass-based allocation is generally applied, or economic allocation if specified, to distribute environmental burdens proportionally. For end-of-life, recycling benefits are accounted for using avoided burden methodology.</w:t>
      </w:r>
    </w:p>
    <w:p>
      <w:r>
        <w:pict>
          <v:rect style="width:0;height:1.5pt" o:hralign="center" o:hrstd="t" o:hr="t"/>
        </w:pict>
      </w:r>
    </w:p>
    <w:bookmarkEnd w:id="28"/>
    <w:bookmarkEnd w:id="29"/>
    <w:bookmarkStart w:id="46" w:name="X939a47aef72a4a28c08ea406bdad185696e1f66"/>
    <w:p>
      <w:pPr>
        <w:pStyle w:val="Heading2"/>
      </w:pPr>
      <w:r>
        <w:t xml:space="preserve">3. Lifecycle Inventory (LCI) and Data Collection</w:t>
      </w:r>
    </w:p>
    <w:p>
      <w:pPr>
        <w:pStyle w:val="FirstParagraph"/>
      </w:pPr>
      <w:r>
        <w:t xml:space="preserve">This section details the primary and secondary data collected and used for the PCF analysis, mapped across the product\'s lifecycle stages.</w:t>
      </w:r>
    </w:p>
    <w:bookmarkStart w:id="31" w:name="Xe8cbe1889eb7d9001e7360b58500d1b573516c7"/>
    <w:p>
      <w:pPr>
        <w:pStyle w:val="Heading3"/>
      </w:pPr>
      <w:r>
        <w:t xml:space="preserve">3.1. Material Inputs (Scope 3: Purchased Goods and Services)</w:t>
      </w:r>
    </w:p>
    <w:p>
      <w:pPr>
        <w:pStyle w:val="FirstParagraph"/>
      </w:pPr>
      <w:r>
        <w:t xml:space="preserve">The following Bill of Materials (BOM) has been used for high-accuracy material impact calculation. The \'Total Carbon\' values provided for each BOM item are considered the pre-calculated CO2e emissions associated with the quantity of that material, up to the factory gate.</w:t>
      </w:r>
    </w:p>
    <w:bookmarkStart w:id="30" w:name="bom-table"/>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bl>
    <w:bookmarkEnd w:id="30"/>
    <w:p>
      <w:pPr>
        <w:pStyle w:val="BodyText"/>
      </w:pPr>
      <w:r>
        <w:t xml:space="preserve">Total Material-related Emissions (Scope 3):</w:t>
      </w:r>
      <w:r>
        <w:t xml:space="preserve"> </w:t>
      </w:r>
      <w:r>
        <w:t xml:space="preserve"> </w:t>
      </w:r>
      <w:r>
        <w:t xml:space="preserve">kg CO2e</w:t>
      </w:r>
    </w:p>
    <w:p>
      <w:pPr>
        <w:pStyle w:val="BodyText"/>
      </w:pPr>
      <w:r>
        <w:t xml:space="preserve">Estimated Total Product Mass (for transport calculation):</w:t>
      </w:r>
      <w:r>
        <w:t xml:space="preserve"> </w:t>
      </w:r>
      <w:r>
        <w:t xml:space="preserve"> </w:t>
      </w:r>
      <w:r>
        <w:t xml:space="preserve">kg</w:t>
      </w:r>
    </w:p>
    <w:bookmarkEnd w:id="31"/>
    <w:bookmarkStart w:id="35" w:name="Xf399575fd5142c9f3b9872d1c2b77570770c2df"/>
    <w:p>
      <w:pPr>
        <w:pStyle w:val="Heading3"/>
      </w:pPr>
      <w:r>
        <w:t xml:space="preserve">3.2. Production Energy (Scope 2: Purchased Energy &amp; Scope 1: Direct if applicable)</w:t>
      </w:r>
    </w:p>
    <w:p>
      <w:pPr>
        <w:numPr>
          <w:ilvl w:val="0"/>
          <w:numId w:val="1003"/>
        </w:numPr>
        <w:pStyle w:val="Compact"/>
      </w:pPr>
      <w:r>
        <w:rPr>
          <w:bCs/>
          <w:b/>
        </w:rPr>
        <w:t xml:space="preserve">Energy Intensity (kWh/unit):</w:t>
      </w:r>
      <w:r>
        <w:t xml:space="preserve"> </w:t>
      </w:r>
      <w:bookmarkStart w:id="32" w:name="energy-intensity"/>
      <w:bookmarkEnd w:id="32"/>
      <w:r>
        <w:t xml:space="preserve"> </w:t>
      </w:r>
      <w:r>
        <w:t xml:space="preserve">kWh/unit</w:t>
      </w:r>
    </w:p>
    <w:p>
      <w:pPr>
        <w:numPr>
          <w:ilvl w:val="0"/>
          <w:numId w:val="1003"/>
        </w:numPr>
        <w:pStyle w:val="Compact"/>
      </w:pPr>
      <w:r>
        <w:rPr>
          <w:bCs/>
          <w:b/>
        </w:rPr>
        <w:t xml:space="preserve">Renewable Energy Usage:</w:t>
      </w:r>
      <w:r>
        <w:t xml:space="preserve"> </w:t>
      </w:r>
      <w:bookmarkStart w:id="33" w:name="renewable-energy-usage"/>
      <w:bookmarkEnd w:id="33"/>
      <w:r>
        <w:t xml:space="preserve">%</w:t>
      </w:r>
    </w:p>
    <w:p>
      <w:pPr>
        <w:numPr>
          <w:ilvl w:val="0"/>
          <w:numId w:val="1003"/>
        </w:numPr>
        <w:pStyle w:val="Compact"/>
      </w:pPr>
      <w:r>
        <w:rPr>
          <w:bCs/>
          <w:b/>
        </w:rPr>
        <w:t xml:space="preserve">Final Production Country:</w:t>
      </w:r>
      <w:r>
        <w:t xml:space="preserve"> </w:t>
      </w:r>
      <w:r>
        <w:t xml:space="preserve">China</w:t>
      </w:r>
    </w:p>
    <w:p>
      <w:pPr>
        <w:pStyle w:val="FirstParagraph"/>
      </w:pPr>
      <w:r>
        <w:t xml:space="preserve">For calculations, a generic electricity grid emission factor for China is used as a baseline, estimated at 0.65 kg CO2e/kWh. The specified renewable energy usage (</w:t>
      </w:r>
      <w:bookmarkStart w:id="34" w:name="renewable-energy-usage-text"/>
      <w:bookmarkEnd w:id="34"/>
      <w:r>
        <w:t xml:space="preserve">%) is applied to reduce the effective grid emission factor for purchased electricity. Any direct emissions (Scope 1) from on-site fuel combustion are not explicitly specified but would be added if primary data were available.</w:t>
      </w:r>
    </w:p>
    <w:bookmarkEnd w:id="35"/>
    <w:bookmarkStart w:id="39" w:name="Xd6901d5f2798d9ae802c4d0eda16fd33a290022"/>
    <w:p>
      <w:pPr>
        <w:pStyle w:val="Heading3"/>
      </w:pPr>
      <w:r>
        <w:t xml:space="preserve">3.3. Transportation (Scope 3: Upstream &amp; Downstream Transportation)</w:t>
      </w:r>
    </w:p>
    <w:p>
      <w:pPr>
        <w:numPr>
          <w:ilvl w:val="0"/>
          <w:numId w:val="1004"/>
        </w:numPr>
        <w:pStyle w:val="Compact"/>
      </w:pPr>
      <w:r>
        <w:rPr>
          <w:bCs/>
          <w:b/>
        </w:rPr>
        <w:t xml:space="preserve">Transport Mode (Primary Logistics):</w:t>
      </w:r>
      <w:r>
        <w:t xml:space="preserve"> </w:t>
      </w:r>
      <w:bookmarkStart w:id="36" w:name="transport-mode"/>
      <w:bookmarkEnd w:id="36"/>
    </w:p>
    <w:p>
      <w:pPr>
        <w:numPr>
          <w:ilvl w:val="0"/>
          <w:numId w:val="1004"/>
        </w:numPr>
        <w:pStyle w:val="Compact"/>
      </w:pPr>
      <w:r>
        <w:rPr>
          <w:bCs/>
          <w:b/>
        </w:rPr>
        <w:t xml:space="preserve">Transport Distance (Primary Logistics):</w:t>
      </w:r>
      <w:r>
        <w:t xml:space="preserve"> </w:t>
      </w:r>
      <w:bookmarkStart w:id="37" w:name="transport-distance"/>
      <w:bookmarkEnd w:id="37"/>
      <w:r>
        <w:t xml:space="preserve"> </w:t>
      </w:r>
      <w:r>
        <w:t xml:space="preserve">km (assumed)</w:t>
      </w:r>
    </w:p>
    <w:p>
      <w:pPr>
        <w:numPr>
          <w:ilvl w:val="0"/>
          <w:numId w:val="1004"/>
        </w:numPr>
        <w:pStyle w:val="Compact"/>
      </w:pPr>
      <w:r>
        <w:rPr>
          <w:bCs/>
          <w:b/>
        </w:rPr>
        <w:t xml:space="preserve">Last-Mile Delivery Channel:</w:t>
      </w:r>
      <w:r>
        <w:t xml:space="preserve"> </w:t>
      </w:r>
      <w:bookmarkStart w:id="38" w:name="last-mile-delivery"/>
      <w:bookmarkEnd w:id="38"/>
    </w:p>
    <w:p>
      <w:pPr>
        <w:pStyle w:val="FirstParagraph"/>
      </w:pPr>
      <w:r>
        <w:t xml:space="preserve">Given the "Europe Focused" supply chain, primary transport from European suppliers to the Chinese factory, and then from the factory to the end customer, is considered.</w:t>
      </w:r>
    </w:p>
    <w:p>
      <w:pPr>
        <w:numPr>
          <w:ilvl w:val="0"/>
          <w:numId w:val="1005"/>
        </w:numPr>
        <w:pStyle w:val="Compact"/>
      </w:pPr>
      <w:r>
        <w:rPr>
          <w:bCs/>
          <w:b/>
        </w:rPr>
        <w:t xml:space="preserve">Assumed Upstream Transport Factor (e.g., Road freight - average articulated lorry):</w:t>
      </w:r>
      <w:r>
        <w:t xml:space="preserve"> </w:t>
      </w:r>
      <w:r>
        <w:t xml:space="preserve">0.1 kg CO2e/tkm</w:t>
      </w:r>
    </w:p>
    <w:p>
      <w:pPr>
        <w:numPr>
          <w:ilvl w:val="0"/>
          <w:numId w:val="1005"/>
        </w:numPr>
        <w:pStyle w:val="Compact"/>
      </w:pPr>
      <w:r>
        <w:rPr>
          <w:bCs/>
          <w:b/>
        </w:rPr>
        <w:t xml:space="preserve">Assumed Downstream Transport Factor (e.g., Road freight - light commercial vehicle for last mile):</w:t>
      </w:r>
      <w:r>
        <w:t xml:space="preserve"> </w:t>
      </w:r>
      <w:r>
        <w:t xml:space="preserve">0.3 kg CO2e/tkm (simplified average, can vary significantly)</w:t>
      </w:r>
    </w:p>
    <w:bookmarkEnd w:id="39"/>
    <w:bookmarkStart w:id="42" w:name="use-phase-scope-3-use-of-sold-products"/>
    <w:p>
      <w:pPr>
        <w:pStyle w:val="Heading3"/>
      </w:pPr>
      <w:r>
        <w:t xml:space="preserve">3.4. Use Phase (Scope 3: Use of Sold Products)</w:t>
      </w:r>
    </w:p>
    <w:p>
      <w:pPr>
        <w:numPr>
          <w:ilvl w:val="0"/>
          <w:numId w:val="1006"/>
        </w:numPr>
        <w:pStyle w:val="Compact"/>
      </w:pPr>
      <w:r>
        <w:rPr>
          <w:bCs/>
          <w:b/>
        </w:rPr>
        <w:t xml:space="preserve">Product Lifespan:</w:t>
      </w:r>
      <w:r>
        <w:t xml:space="preserve"> </w:t>
      </w:r>
      <w:bookmarkStart w:id="40" w:name="product-lifespan"/>
      <w:bookmarkEnd w:id="40"/>
      <w:r>
        <w:t xml:space="preserve"> </w:t>
      </w:r>
      <w:r>
        <w:t xml:space="preserve">years</w:t>
      </w:r>
    </w:p>
    <w:p>
      <w:pPr>
        <w:numPr>
          <w:ilvl w:val="0"/>
          <w:numId w:val="1006"/>
        </w:numPr>
        <w:pStyle w:val="Compact"/>
      </w:pPr>
      <w:r>
        <w:rPr>
          <w:bCs/>
          <w:b/>
        </w:rPr>
        <w:t xml:space="preserve">Energy Consumption in Use (Annual):</w:t>
      </w:r>
      <w:r>
        <w:t xml:space="preserve"> </w:t>
      </w:r>
      <w:bookmarkStart w:id="41" w:name="energy-consumption-in-use"/>
      <w:bookmarkEnd w:id="41"/>
      <w:r>
        <w:t xml:space="preserve"> </w:t>
      </w:r>
      <w:r>
        <w:t xml:space="preserve">kWh/year (assumed)</w:t>
      </w:r>
    </w:p>
    <w:p>
      <w:pPr>
        <w:pStyle w:val="FirstParagraph"/>
      </w:pPr>
      <w:r>
        <w:t xml:space="preserve">The energy consumption during the product\'s lifespan is a critical component of the use phase emissions. An average electricity grid mix emission factor of 0.3 kg CO2e/kWh (representing a typical European/global mix for end-users) is assumed for calculating these emissions.</w:t>
      </w:r>
    </w:p>
    <w:bookmarkEnd w:id="42"/>
    <w:bookmarkStart w:id="45" w:name="X3c05f623d341f3c142b71ec8c22a4f91acb5a58"/>
    <w:p>
      <w:pPr>
        <w:pStyle w:val="Heading3"/>
      </w:pPr>
      <w:r>
        <w:t xml:space="preserve">3.5. End-of-Life (EoL) Scenarios (Scope 3: End-of-Life Treatment of Sold Products)</w:t>
      </w:r>
    </w:p>
    <w:p>
      <w:pPr>
        <w:numPr>
          <w:ilvl w:val="0"/>
          <w:numId w:val="1007"/>
        </w:numPr>
        <w:pStyle w:val="Compact"/>
      </w:pPr>
      <w:r>
        <w:rPr>
          <w:bCs/>
          <w:b/>
        </w:rPr>
        <w:t xml:space="preserve">Recyclability Percentage:</w:t>
      </w:r>
      <w:r>
        <w:t xml:space="preserve"> </w:t>
      </w:r>
      <w:bookmarkStart w:id="43" w:name="recyclability-percentage"/>
      <w:bookmarkEnd w:id="43"/>
      <w:r>
        <w:t xml:space="preserve">%</w:t>
      </w:r>
    </w:p>
    <w:p>
      <w:pPr>
        <w:numPr>
          <w:ilvl w:val="0"/>
          <w:numId w:val="1007"/>
        </w:numPr>
        <w:pStyle w:val="Compact"/>
      </w:pPr>
      <w:r>
        <w:rPr>
          <w:bCs/>
          <w:b/>
        </w:rPr>
        <w:t xml:space="preserve">Circular/Take-back Programs:</w:t>
      </w:r>
      <w:r>
        <w:t xml:space="preserve"> </w:t>
      </w:r>
      <w:bookmarkStart w:id="44" w:name="circular-programs"/>
      <w:bookmarkEnd w:id="44"/>
    </w:p>
    <w:p>
      <w:pPr>
        <w:pStyle w:val="FirstParagraph"/>
      </w:pPr>
      <w:r>
        <w:t xml:space="preserve">End-of-life impacts are calculated by considering disposal emissions and potential credits from recycling. For the recyclable portion, a credit is applied assuming avoided primary material production. For example, recycling is assumed to avoid 60% of the virgin material emissions for the recycled components. Non-recycled portions are assumed to be landfilled, incurring typical disposal emissions. Circular and take-back programs are crucial for maximizing material recovery and minimizing waste, further reducing the overall footprint.</w:t>
      </w:r>
    </w:p>
    <w:p>
      <w:r>
        <w:pict>
          <v:rect style="width:0;height:1.5pt" o:hralign="center" o:hrstd="t" o:hr="t"/>
        </w:pict>
      </w:r>
    </w:p>
    <w:bookmarkEnd w:id="45"/>
    <w:bookmarkEnd w:id="46"/>
    <w:bookmarkStart w:id="55" w:name="emission-calculation-and-reporting"/>
    <w:p>
      <w:pPr>
        <w:pStyle w:val="Heading2"/>
      </w:pPr>
      <w:r>
        <w:t xml:space="preserve">4. Emission Calculation and Reporting</w:t>
      </w:r>
    </w:p>
    <w:p>
      <w:pPr>
        <w:pStyle w:val="FirstParagraph"/>
      </w:pPr>
      <w:r>
        <w:t xml:space="preserve">This section details the calculation of CO2e emissions across the product\'s lifecycle, categorized by GHG Protocol scopes.</w:t>
      </w:r>
    </w:p>
    <w:bookmarkStart w:id="47" w:name="scope-1-emissions-direct-emissions"/>
    <w:p>
      <w:pPr>
        <w:pStyle w:val="Heading3"/>
      </w:pPr>
      <w:r>
        <w:t xml:space="preserve">4.1. Scope 1 Emissions (Direct Emissions)</w:t>
      </w:r>
    </w:p>
    <w:p>
      <w:pPr>
        <w:pStyle w:val="FirstParagraph"/>
      </w:pPr>
      <w:r>
        <w:t xml:space="preserve">No specific data for direct (Scope 1) emissions from owned or controlled sources (e.g., on-site fuel combustion) was provided. Therefore, Scope 1 emissions for uzfgixomgw are assumed to be negligible or zero for this report. If such data were available, they would be integrated here.</w:t>
      </w:r>
    </w:p>
    <w:p>
      <w:pPr>
        <w:pStyle w:val="BodyText"/>
      </w:pPr>
      <w:r>
        <w:rPr>
          <w:bCs/>
          <w:b/>
        </w:rPr>
        <w:t xml:space="preserve">Total Scope 1 Emissions:</w:t>
      </w:r>
      <w:r>
        <w:t xml:space="preserve"> </w:t>
      </w:r>
      <w:r>
        <w:t xml:space="preserve">0.00 kg CO2e</w:t>
      </w:r>
    </w:p>
    <w:bookmarkEnd w:id="47"/>
    <w:bookmarkStart w:id="50" w:name="scope-2-emissions-purchased-energy"/>
    <w:p>
      <w:pPr>
        <w:pStyle w:val="Heading3"/>
      </w:pPr>
      <w:r>
        <w:t xml:space="preserve">4.2. Scope 2 Emissions (Purchased Energy)</w:t>
      </w:r>
    </w:p>
    <w:p>
      <w:pPr>
        <w:pStyle w:val="FirstParagraph"/>
      </w:pPr>
      <w:r>
        <w:t xml:space="preserve">These emissions arise from the electricity purchased and consumed during the manufacturing phase in China.</w:t>
      </w:r>
    </w:p>
    <w:p>
      <w:pPr>
        <w:pStyle w:val="BodyText"/>
      </w:pPr>
      <w:r>
        <w:t xml:space="preserve">**Parameters:**</w:t>
      </w:r>
    </w:p>
    <w:p>
      <w:pPr>
        <w:numPr>
          <w:ilvl w:val="0"/>
          <w:numId w:val="1008"/>
        </w:numPr>
        <w:pStyle w:val="Compact"/>
      </w:pPr>
      <w:r>
        <w:t xml:space="preserve">Energy Intensity (kWh/unit):</w:t>
      </w:r>
      <w:r>
        <w:t xml:space="preserve"> </w:t>
      </w:r>
      <w:bookmarkStart w:id="48" w:name="calc-energy-intensity"/>
      <w:bookmarkEnd w:id="48"/>
      <w:r>
        <w:t xml:space="preserve"> </w:t>
      </w:r>
      <w:r>
        <w:t xml:space="preserve">kWh</w:t>
      </w:r>
    </w:p>
    <w:p>
      <w:pPr>
        <w:numPr>
          <w:ilvl w:val="0"/>
          <w:numId w:val="1008"/>
        </w:numPr>
        <w:pStyle w:val="Compact"/>
      </w:pPr>
      <w:r>
        <w:t xml:space="preserve">China Grid Emission Factor (Baseline): 0.65 kg CO2e/kWh (assumed)</w:t>
      </w:r>
    </w:p>
    <w:p>
      <w:pPr>
        <w:numPr>
          <w:ilvl w:val="0"/>
          <w:numId w:val="1008"/>
        </w:numPr>
        <w:pStyle w:val="Compact"/>
      </w:pPr>
      <w:r>
        <w:t xml:space="preserve">Renewable Energy Usage:</w:t>
      </w:r>
      <w:r>
        <w:t xml:space="preserve"> </w:t>
      </w:r>
      <w:bookmarkStart w:id="49" w:name="calc-renewable-energy-usage"/>
      <w:bookmarkEnd w:id="49"/>
      <w:r>
        <w:t xml:space="preserve">%</w:t>
      </w:r>
    </w:p>
    <w:bookmarkEnd w:id="50"/>
    <w:bookmarkStart w:id="54" w:name="scope-3-emissions-value-chain-emissions"/>
    <w:p>
      <w:pPr>
        <w:pStyle w:val="Heading3"/>
      </w:pPr>
      <w:r>
        <w:t xml:space="preserve">4.3. Scope 3 Emissions (Value Chain Emissions)</w:t>
      </w:r>
    </w:p>
    <w:p>
      <w:pPr>
        <w:pStyle w:val="FirstParagraph"/>
      </w:pPr>
      <w:r>
        <w:t xml:space="preserve">Scope 3 emissions represent the most significant portion of a product\'s carbon footprint, encompassing both upstream and downstream activities.</w:t>
      </w:r>
    </w:p>
    <w:bookmarkStart w:id="51" w:name="X79acfd63dc1b1184a3498a2fffccd484e0f1af6"/>
    <w:p>
      <w:pPr>
        <w:pStyle w:val="Heading4"/>
      </w:pPr>
      <w:r>
        <w:t xml:space="preserve">4.3.1. Upstream Emissions (Purchased Goods &amp; Services, Upstream Transportation)</w:t>
      </w:r>
    </w:p>
    <w:p>
      <w:pPr>
        <w:pStyle w:val="FirstParagraph"/>
      </w:pPr>
      <w:r>
        <w:t xml:space="preserve">**a) Purchased Goods and Services (Materials)**</w:t>
      </w:r>
      <w:r>
        <w:t xml:space="preserve"> </w:t>
      </w:r>
      <w:r>
        <w:t xml:space="preserve">As calculated from the Bill of Materials (BOM).</w:t>
      </w:r>
    </w:p>
    <w:bookmarkEnd w:id="51"/>
    <w:bookmarkStart w:id="52" w:name="X1d8c6d05b9717065cf3e148b65b36648a824b38"/>
    <w:p>
      <w:pPr>
        <w:pStyle w:val="Heading4"/>
      </w:pPr>
      <w:r>
        <w:t xml:space="preserve">4.3.2. Downstream Emissions (Downstream Transportation, Use of Sold Products, End-of-Life)</w:t>
      </w:r>
    </w:p>
    <w:bookmarkEnd w:id="52"/>
    <w:bookmarkStart w:id="53" w:name="Xfc0f4e25fa5e15e584f9266fa75b27124ed8486"/>
    <w:p>
      <w:pPr>
        <w:pStyle w:val="Heading4"/>
      </w:pPr>
      <w:r>
        <w:t xml:space="preserve">4.3.3. Application of 2026 LSR Standard (Scope 3 - Land-related Emissions and Removals)</w:t>
      </w:r>
    </w:p>
    <w:p>
      <w:pPr>
        <w:pStyle w:val="FirstParagraph"/>
      </w:pPr>
      <w:r>
        <w:t xml:space="preserve">The 2026 LSR Standard is designed to account for emissions and removals from land use and land-use change. For</w:t>
      </w:r>
      <w:r>
        <w:t xml:space="preserve"> </w:t>
      </w:r>
      <w:r>
        <w:rPr>
          <w:bCs/>
          <w:b/>
        </w:rPr>
        <w:t xml:space="preserve">uzfgixomgw</w:t>
      </w:r>
      <w:r>
        <w:t xml:space="preserve">, while specific land-use data for raw materials (e.g., bio-based plastics, timber) were not provided, its application would involve:</w:t>
      </w:r>
    </w:p>
    <w:p>
      <w:pPr>
        <w:numPr>
          <w:ilvl w:val="0"/>
          <w:numId w:val="1009"/>
        </w:numPr>
        <w:pStyle w:val="Compact"/>
      </w:pPr>
      <w:r>
        <w:t xml:space="preserve">Quantifying biogenic carbon emissions and removals associated with biomass-derived materials.</w:t>
      </w:r>
    </w:p>
    <w:p>
      <w:pPr>
        <w:numPr>
          <w:ilvl w:val="0"/>
          <w:numId w:val="1009"/>
        </w:numPr>
        <w:pStyle w:val="Compact"/>
      </w:pPr>
      <w:r>
        <w:t xml:space="preserve">Assessing emissions from land-use change (e.g., deforestation for raw material sourcing).</w:t>
      </w:r>
    </w:p>
    <w:p>
      <w:pPr>
        <w:numPr>
          <w:ilvl w:val="0"/>
          <w:numId w:val="1009"/>
        </w:numPr>
        <w:pStyle w:val="Compact"/>
      </w:pPr>
      <w:r>
        <w:t xml:space="preserve">Reporting any carbon sequestration benefits within the value chain.</w:t>
      </w:r>
    </w:p>
    <w:p>
      <w:pPr>
        <w:pStyle w:val="FirstParagraph"/>
      </w:pPr>
      <w:r>
        <w:t xml:space="preserve">For this report, without specific data, quantitative LSR impacts are noted as 0.00 kg CO2e. In a real-world scenario with relevant materials, this would be a significant contribution to Scope 3.</w:t>
      </w:r>
    </w:p>
    <w:p>
      <w:pPr>
        <w:pStyle w:val="BodyText"/>
      </w:pPr>
      <w:r>
        <w:rPr>
          <w:bCs/>
          <w:b/>
        </w:rPr>
        <w:t xml:space="preserve">LSR Emissions/Removals:</w:t>
      </w:r>
      <w:r>
        <w:t xml:space="preserve"> </w:t>
      </w:r>
      <w:r>
        <w:t xml:space="preserve">0.00 kg CO2e</w:t>
      </w:r>
    </w:p>
    <w:p>
      <w:r>
        <w:pict>
          <v:rect style="width:0;height:1.5pt" o:hralign="center" o:hrstd="t" o:hr="t"/>
        </w:pict>
      </w:r>
    </w:p>
    <w:bookmarkEnd w:id="53"/>
    <w:bookmarkEnd w:id="54"/>
    <w:bookmarkEnd w:id="55"/>
    <w:bookmarkStart w:id="59" w:name="overall-product-carbon-footprint-pcf"/>
    <w:p>
      <w:pPr>
        <w:pStyle w:val="Heading2"/>
      </w:pPr>
      <w:r>
        <w:t xml:space="preserve">5. Overall Product Carbon Footprint (PCF)</w:t>
      </w:r>
    </w:p>
    <w:bookmarkStart w:id="56" w:name="summary-of-emissions-by-scope"/>
    <w:p>
      <w:pPr>
        <w:pStyle w:val="Heading3"/>
      </w:pPr>
      <w:r>
        <w:t xml:space="preserve">Summary of Emissions by Scope</w:t>
      </w:r>
    </w:p>
    <w:bookmarkEnd w:id="56"/>
    <w:bookmarkStart w:id="57" w:name="hotspot-analysis"/>
    <w:p>
      <w:pPr>
        <w:pStyle w:val="Heading3"/>
      </w:pPr>
      <w:r>
        <w:t xml:space="preserve">5.1. Hotspot Analysis</w:t>
      </w:r>
    </w:p>
    <w:p>
      <w:pPr>
        <w:pStyle w:val="FirstParagraph"/>
      </w:pPr>
      <w:r>
        <w:t xml:space="preserve">Based on the calculations, the primary emission hotspots for uzfgixomgw are identified as:</w:t>
      </w:r>
    </w:p>
    <w:p>
      <w:pPr>
        <w:numPr>
          <w:ilvl w:val="0"/>
          <w:numId w:val="1010"/>
        </w:numPr>
        <w:pStyle w:val="Compact"/>
      </w:pPr>
      <w:r>
        <w:rPr>
          <w:bCs/>
          <w:b/>
        </w:rPr>
        <w:t xml:space="preserve">Materials (Scope 3):</w:t>
      </w:r>
      <w:r>
        <w:t xml:space="preserve"> </w:t>
      </w:r>
      <w:r>
        <w:t xml:space="preserve">Representing a significant share due to the energy-intensive production of raw components like Aluminum and Electronics.</w:t>
      </w:r>
    </w:p>
    <w:p>
      <w:pPr>
        <w:numPr>
          <w:ilvl w:val="0"/>
          <w:numId w:val="1010"/>
        </w:numPr>
        <w:pStyle w:val="Compact"/>
      </w:pPr>
      <w:r>
        <w:rPr>
          <w:bCs/>
          <w:b/>
        </w:rPr>
        <w:t xml:space="preserve">Use Phase (Scope 3):</w:t>
      </w:r>
      <w:r>
        <w:t xml:space="preserve"> </w:t>
      </w:r>
      <w:r>
        <w:t xml:space="preserve">Significant contributor due to the product\'s energy consumption over its lifespan.</w:t>
      </w:r>
    </w:p>
    <w:p>
      <w:pPr>
        <w:numPr>
          <w:ilvl w:val="0"/>
          <w:numId w:val="1010"/>
        </w:numPr>
        <w:pStyle w:val="Compact"/>
      </w:pPr>
      <w:r>
        <w:rPr>
          <w:bCs/>
          <w:b/>
        </w:rPr>
        <w:t xml:space="preserve">Transportation (Scope 3):</w:t>
      </w:r>
      <w:r>
        <w:t xml:space="preserve"> </w:t>
      </w:r>
      <w:r>
        <w:t xml:space="preserve">Both upstream and downstream logistics contribute, particularly given the extensive distances and reliance on freight modes.</w:t>
      </w:r>
    </w:p>
    <w:p>
      <w:pPr>
        <w:numPr>
          <w:ilvl w:val="0"/>
          <w:numId w:val="1010"/>
        </w:numPr>
        <w:pStyle w:val="Compact"/>
      </w:pPr>
      <w:r>
        <w:rPr>
          <w:bCs/>
          <w:b/>
        </w:rPr>
        <w:t xml:space="preserve">Production Energy (Scope 2):</w:t>
      </w:r>
      <w:r>
        <w:t xml:space="preserve"> </w:t>
      </w:r>
      <w:r>
        <w:t xml:space="preserve">Although mitigated by renewable energy usage, the reliance on a grid with a notable carbon intensity in China remains a hotspot.</w:t>
      </w:r>
    </w:p>
    <w:bookmarkEnd w:id="57"/>
    <w:bookmarkStart w:id="58" w:name="reliability-and-limitations"/>
    <w:p>
      <w:pPr>
        <w:pStyle w:val="Heading3"/>
      </w:pPr>
      <w:r>
        <w:t xml:space="preserve">5.2. Reliability and Limitations</w:t>
      </w:r>
    </w:p>
    <w:p>
      <w:pPr>
        <w:pStyle w:val="FirstParagraph"/>
      </w:pPr>
      <w:r>
        <w:t xml:space="preserve">The reliability of this PCF is high for specified parameters. However, it is subject to the following limitations:</w:t>
      </w:r>
    </w:p>
    <w:p>
      <w:pPr>
        <w:numPr>
          <w:ilvl w:val="0"/>
          <w:numId w:val="1011"/>
        </w:numPr>
        <w:pStyle w:val="Compact"/>
      </w:pPr>
      <w:r>
        <w:rPr>
          <w:bCs/>
          <w:b/>
        </w:rPr>
        <w:t xml:space="preserve">Assumed Values:</w:t>
      </w:r>
      <w:r>
        <w:t xml:space="preserve"> </w:t>
      </w:r>
      <w:r>
        <w:t xml:space="preserve">"Select Mode" and "Delivery Type" were interpreted as specific transport types for calculation. "zrxtrjqpyn", "dqxhjmgsqw", "jtkkkfsvqj", "drjykwsvqy", "jqvfdivhsi", "gyikyfmnzu", "szmvjuhyqq" were provided as placeholder strings and replaced with illustrative numerical values or descriptive text for the purpose of demonstrating calculations. Actual specific data would refine accuracy.</w:t>
      </w:r>
    </w:p>
    <w:p>
      <w:pPr>
        <w:numPr>
          <w:ilvl w:val="0"/>
          <w:numId w:val="1011"/>
        </w:numPr>
        <w:pStyle w:val="Compact"/>
      </w:pPr>
      <w:r>
        <w:rPr>
          <w:bCs/>
          <w:b/>
        </w:rPr>
        <w:t xml:space="preserve">Emission Factors:</w:t>
      </w:r>
      <w:r>
        <w:t xml:space="preserve"> </w:t>
      </w:r>
      <w:r>
        <w:t xml:space="preserve">Generic industry-average emission factors (e.g., for transport, electricity grids) were used where specific primary data or Ecoinvent/DEFRA access was not available to the model.</w:t>
      </w:r>
    </w:p>
    <w:p>
      <w:pPr>
        <w:numPr>
          <w:ilvl w:val="0"/>
          <w:numId w:val="1011"/>
        </w:numPr>
        <w:pStyle w:val="Compact"/>
      </w:pPr>
      <w:r>
        <w:rPr>
          <w:bCs/>
          <w:b/>
        </w:rPr>
        <w:t xml:space="preserve">LSR Standard:</w:t>
      </w:r>
      <w:r>
        <w:t xml:space="preserve"> </w:t>
      </w:r>
      <w:r>
        <w:t xml:space="preserve">While acknowledged, quantitative impacts for LSR are zero in this report due to lack of specific land-use data.</w:t>
      </w:r>
    </w:p>
    <w:p>
      <w:pPr>
        <w:numPr>
          <w:ilvl w:val="0"/>
          <w:numId w:val="1011"/>
        </w:numPr>
        <w:pStyle w:val="Compact"/>
      </w:pPr>
      <w:r>
        <w:rPr>
          <w:bCs/>
          <w:b/>
        </w:rPr>
        <w:t xml:space="preserve">System Boundary:</w:t>
      </w:r>
      <w:r>
        <w:t xml:space="preserve"> </w:t>
      </w:r>
      <w:r>
        <w:t xml:space="preserve">While cradle-to-grave principles were applied for Scope 3, the "factory_gate" boundary for core manufacturing dictates the primary data collection focus, meaning some minor upstream processes might be aggregated.</w:t>
      </w:r>
    </w:p>
    <w:p>
      <w:r>
        <w:pict>
          <v:rect style="width:0;height:1.5pt" o:hralign="center" o:hrstd="t" o:hr="t"/>
        </w:pict>
      </w:r>
    </w:p>
    <w:bookmarkEnd w:id="58"/>
    <w:bookmarkEnd w:id="59"/>
    <w:bookmarkStart w:id="64" w:name="recommendations-for-emission-reduction"/>
    <w:p>
      <w:pPr>
        <w:pStyle w:val="Heading2"/>
      </w:pPr>
      <w:r>
        <w:t xml:space="preserve">6. Recommendations for Emission Reduction</w:t>
      </w:r>
    </w:p>
    <w:p>
      <w:pPr>
        <w:pStyle w:val="FirstParagraph"/>
      </w:pPr>
      <w:r>
        <w:t xml:space="preserve">To further reduce the product carbon footprint of uzfgixomgw, the following actions are recommended:</w:t>
      </w:r>
    </w:p>
    <w:p>
      <w:pPr>
        <w:numPr>
          <w:ilvl w:val="0"/>
          <w:numId w:val="1012"/>
        </w:numPr>
        <w:pStyle w:val="Compact"/>
      </w:pPr>
      <w:r>
        <w:rPr>
          <w:bCs/>
          <w:b/>
        </w:rPr>
        <w:t xml:space="preserve">Material Optimization:</w:t>
      </w:r>
      <w:r>
        <w:t xml:space="preserve"> </w:t>
      </w:r>
      <w:r>
        <w:t xml:space="preserve">Explore alternative, lower-carbon materials for the most impactful components. Investigate suppliers with certified low-carbon production processes and increased recycled content.</w:t>
      </w:r>
    </w:p>
    <w:p>
      <w:pPr>
        <w:numPr>
          <w:ilvl w:val="0"/>
          <w:numId w:val="1012"/>
        </w:numPr>
        <w:pStyle w:val="Compact"/>
      </w:pPr>
      <w:r>
        <w:rPr>
          <w:bCs/>
          <w:b/>
        </w:rPr>
        <w:t xml:space="preserve">Supply Chain Decarbonization:</w:t>
      </w:r>
      <w:r>
        <w:t xml:space="preserve"> </w:t>
      </w:r>
      <w:r>
        <w:t xml:space="preserve">Optimize transport routes and modes, prioritizing lower-emission options such as rail or sea freight over long-haul road or air where feasible, especially for the Europe-focused supply chain. Collaborate with logistics providers committed to decarbonization.</w:t>
      </w:r>
    </w:p>
    <w:p>
      <w:pPr>
        <w:numPr>
          <w:ilvl w:val="0"/>
          <w:numId w:val="1012"/>
        </w:numPr>
        <w:pStyle w:val="Compact"/>
      </w:pPr>
      <w:r>
        <w:rPr>
          <w:bCs/>
          <w:b/>
        </w:rPr>
        <w:t xml:space="preserve">Enhanced Renewable Energy Procurement:</w:t>
      </w:r>
      <w:r>
        <w:t xml:space="preserve"> </w:t>
      </w:r>
      <w:r>
        <w:t xml:space="preserve">Increase the percentage of renewable energy (beyond current</w:t>
      </w:r>
      <w:r>
        <w:t xml:space="preserve"> </w:t>
      </w:r>
      <w:bookmarkStart w:id="60" w:name="rec-renewable-energy-usage"/>
      <w:bookmarkEnd w:id="60"/>
      <w:r>
        <w:t xml:space="preserve">%) used in manufacturing operations and throughout the supply chain (e.g., through Power Purchase Agreements, on-site renewables).</w:t>
      </w:r>
    </w:p>
    <w:p>
      <w:pPr>
        <w:numPr>
          <w:ilvl w:val="0"/>
          <w:numId w:val="1012"/>
        </w:numPr>
        <w:pStyle w:val="Compact"/>
      </w:pPr>
      <w:r>
        <w:rPr>
          <w:bCs/>
          <w:b/>
        </w:rPr>
        <w:t xml:space="preserve">Use Phase Efficiency:</w:t>
      </w:r>
      <w:r>
        <w:t xml:space="preserve"> </w:t>
      </w:r>
      <w:r>
        <w:t xml:space="preserve">Continue to improve the energy efficiency of the product (reducing "Energy Consumption in Use" from</w:t>
      </w:r>
      <w:r>
        <w:t xml:space="preserve"> </w:t>
      </w:r>
      <w:bookmarkStart w:id="61" w:name="rec-energy-consumption-in-use"/>
      <w:bookmarkEnd w:id="61"/>
      <w:r>
        <w:t xml:space="preserve"> </w:t>
      </w:r>
      <w:r>
        <w:t xml:space="preserve">kWh/year) and explore software updates or user guides to promote efficient usage.</w:t>
      </w:r>
    </w:p>
    <w:p>
      <w:pPr>
        <w:numPr>
          <w:ilvl w:val="0"/>
          <w:numId w:val="1012"/>
        </w:numPr>
        <w:pStyle w:val="Compact"/>
      </w:pPr>
      <w:r>
        <w:rPr>
          <w:bCs/>
          <w:b/>
        </w:rPr>
        <w:t xml:space="preserve">Strengthen Circular Economy:</w:t>
      </w:r>
      <w:r>
        <w:t xml:space="preserve"> </w:t>
      </w:r>
      <w:r>
        <w:t xml:space="preserve">Expand and promote "Circular/Take-back Programs" (</w:t>
      </w:r>
      <w:bookmarkStart w:id="62" w:name="rec-circular-programs"/>
      <w:bookmarkEnd w:id="62"/>
      <w:r>
        <w:t xml:space="preserve">) to maximize the effective recyclability (beyond current</w:t>
      </w:r>
      <w:r>
        <w:t xml:space="preserve"> </w:t>
      </w:r>
      <w:bookmarkStart w:id="63" w:name="rec-recyclability-percentage"/>
      <w:bookmarkEnd w:id="63"/>
      <w:r>
        <w:t xml:space="preserve">%) and reuse of components, extending product lifespan and closing material loops.</w:t>
      </w:r>
    </w:p>
    <w:p>
      <w:pPr>
        <w:numPr>
          <w:ilvl w:val="0"/>
          <w:numId w:val="1012"/>
        </w:numPr>
        <w:pStyle w:val="Compact"/>
      </w:pPr>
      <w:r>
        <w:rPr>
          <w:bCs/>
          <w:b/>
        </w:rPr>
        <w:t xml:space="preserve">Supplier Engagement:</w:t>
      </w:r>
      <w:r>
        <w:t xml:space="preserve"> </w:t>
      </w:r>
      <w:r>
        <w:t xml:space="preserve">Work closely with key suppliers to gather primary data and encourage them to reduce their own Scope 1 and 2 emissions, which directly impact fjoumgtvus\'s Scope 3.</w:t>
      </w:r>
    </w:p>
    <w:p>
      <w:r>
        <w:pict>
          <v:rect style="width:0;height:1.5pt" o:hralign="center" o:hrstd="t" o:hr="t"/>
        </w:pict>
      </w:r>
    </w:p>
    <w:p>
      <w:pPr>
        <w:pStyle w:val="FirstParagraph"/>
      </w:pPr>
      <w:r>
        <w:t xml:space="preserve">Confidential - Internal Use Only | Page</w:t>
      </w:r>
      <w:r>
        <w:t xml:space="preserve"> </w:t>
      </w:r>
    </w:p>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uzfgixomgw</dc:title>
  <dc:creator/>
  <dc:description>High-detail Product Carbon Footprint (PCF) analysis report for uzfgixomgw by fjoumgtvus, adhering to GHG Protocol and 2026 LSR update. Conducted by Senior Sustainability Consultant fiihsqvmkq.</dc:description>
  <cp:keywords/>
  <dcterms:created xsi:type="dcterms:W3CDTF">2026-05-30T23:55:47Z</dcterms:created>
  <dcterms:modified xsi:type="dcterms:W3CDTF">2026-05-30T23:55:47Z</dcterms:modified>
</cp:coreProperties>
</file>

<file path=docProps/custom.xml><?xml version="1.0" encoding="utf-8"?>
<Properties xmlns="http://schemas.openxmlformats.org/officeDocument/2006/custom-properties" xmlns:vt="http://schemas.openxmlformats.org/officeDocument/2006/docPropsVTypes"/>
</file>