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uxuwwukemn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uxuwwukemn</w:t>
      </w:r>
    </w:p>
    <w:p>
      <w:pPr>
        <w:pStyle w:val="BodyText"/>
      </w:pPr>
      <w:r>
        <w:rPr>
          <w:bCs/>
          <w:b/>
        </w:rPr>
        <w:t xml:space="preserve">Company:</w:t>
      </w:r>
      <w:r>
        <w:t xml:space="preserve"> </w:t>
      </w:r>
      <w:r>
        <w:t xml:space="preserve">xpxfisguwl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yrmvmesgid</w:t>
      </w:r>
    </w:p>
    <w:p>
      <w:pPr>
        <w:pStyle w:val="BodyText"/>
      </w:pPr>
      <w:r>
        <w:t xml:space="preserve">Disclaimer: This report is generated based on available data and industry standards. While every effort has been made to ensure accuracy, the actual carbon footprint may vary based on precise operational data, specific supplier details, and real-time emission factors. Placeholder values have been used where specific data was not provided and are clearly indicated.</w:t>
      </w:r>
    </w:p>
    <w:bookmarkEnd w:id="20"/>
    <w:bookmarkStart w:id="21" w:name="product-carbon-footprint-pcf-analysis"/>
    <w:p>
      <w:pPr>
        <w:pStyle w:val="Heading1"/>
      </w:pPr>
      <w:r>
        <w:t xml:space="preserve">Product Carbon Footprint (PCF) Analysis</w:t>
      </w:r>
    </w:p>
    <w:p>
      <w:pPr>
        <w:pStyle w:val="FirstParagraph"/>
      </w:pPr>
      <w:r>
        <w:rPr>
          <w:bCs/>
          <w:b/>
        </w:rPr>
        <w:t xml:space="preserve">Product:</w:t>
      </w:r>
      <w:r>
        <w:t xml:space="preserve"> </w:t>
      </w:r>
      <w:r>
        <w:t xml:space="preserve">uxuwwukemn</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uxuwwukemn</w:t>
      </w:r>
      <w:r>
        <w:t xml:space="preserve">, manufactured by</w:t>
      </w:r>
      <w:r>
        <w:t xml:space="preserve"> </w:t>
      </w:r>
      <w:r>
        <w:t xml:space="preserve">xpxfisguwl</w:t>
      </w:r>
      <w:r>
        <w:t xml:space="preserve">. Conducted by</w:t>
      </w:r>
      <w:r>
        <w:t xml:space="preserve"> </w:t>
      </w:r>
      <w:r>
        <w:t xml:space="preserve">yrmvmesgid</w:t>
      </w:r>
      <w:r>
        <w:t xml:space="preserve">, a Senior Sustainability Consultant specializing in GHG Protocol, this assessment adheres to the Greenhouse Gas (GHG) Protocol standards, including the</w:t>
      </w:r>
      <w:r>
        <w:t xml:space="preserve"> </w:t>
      </w:r>
      <w:r>
        <w:t xml:space="preserve">2026 Land Sector and Removals (LSR) update</w:t>
      </w:r>
      <w:r>
        <w:t xml:space="preserve">. The analysis covers the entire lifecycle of the product, from raw material acquisition to end-of-life, within a</w:t>
      </w:r>
      <w:r>
        <w:t xml:space="preserve"> </w:t>
      </w:r>
      <w:r>
        <w:t xml:space="preserve">factory_gate</w:t>
      </w:r>
      <w:r>
        <w:t xml:space="preserve"> </w:t>
      </w:r>
      <w:r>
        <w:t xml:space="preserve">system boundary. The primary goal is to quantify the greenhouse gas emissions (expressed in CO2e) associated with the functional unit of</w:t>
      </w:r>
      <w:r>
        <w:t xml:space="preserve"> </w:t>
      </w:r>
      <w:r>
        <w:t xml:space="preserve">1.0 unit</w:t>
      </w:r>
      <w:r>
        <w:t xml:space="preserve"> </w:t>
      </w:r>
      <w:r>
        <w:t xml:space="preserve">of</w:t>
      </w:r>
      <w:r>
        <w:t xml:space="preserve"> </w:t>
      </w:r>
      <w:r>
        <w:t xml:space="preserve">uxuwwukemn</w:t>
      </w:r>
      <w:r>
        <w:t xml:space="preserve">, identify emission hotspots, and provide insights for reduction strategies. Special emphasis has been placed on achieving at least</w:t>
      </w:r>
      <w:r>
        <w:t xml:space="preserve"> </w:t>
      </w:r>
      <w:r>
        <w:t xml:space="preserve">95% coverage for Scope 3 emissions</w:t>
      </w:r>
      <w:r>
        <w:t xml:space="preserve">, aligning with the stringent 2026 requirements.</w:t>
      </w:r>
    </w:p>
    <w:p>
      <w:r>
        <w:pict>
          <v:rect style="width:0;height:1.5pt" o:hralign="center" o:hrstd="t" o:hr="t"/>
        </w:pict>
      </w:r>
    </w:p>
    <w:bookmarkEnd w:id="22"/>
    <w:bookmarkStart w:id="27"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t xml:space="preserve">1.0 unit</w:t>
      </w:r>
      <w:r>
        <w:t xml:space="preserve"> </w:t>
      </w:r>
      <w:r>
        <w:t xml:space="preserve">of</w:t>
      </w:r>
      <w:r>
        <w:t xml:space="preserve"> </w:t>
      </w:r>
      <w:r>
        <w:t xml:space="preserve">uxuwwukemn</w:t>
      </w:r>
      <w:r>
        <w:t xml:space="preserve">. This unit serves as the reference basis for quantifying all inputs and outputs throughout the product\'s lifecycle, allowing for a standardized and comparable assessment of its environmental impact.</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t xml:space="preserve">factory_gate</w:t>
      </w:r>
      <w:r>
        <w:t xml:space="preserve">. This "Cradle-to-Gate" boundary encompasses all GHG emissions associated with the production of</w:t>
      </w:r>
      <w:r>
        <w:t xml:space="preserve"> </w:t>
      </w:r>
      <w:r>
        <w:t xml:space="preserve">uxuwwukemn</w:t>
      </w:r>
      <w:r>
        <w:t xml:space="preserve"> </w:t>
      </w:r>
      <w:r>
        <w:t xml:space="preserve">up to the point it leaves the manufacturing facility. It includes:</w:t>
      </w:r>
    </w:p>
    <w:p>
      <w:pPr>
        <w:numPr>
          <w:ilvl w:val="0"/>
          <w:numId w:val="1001"/>
        </w:numPr>
        <w:pStyle w:val="Compact"/>
      </w:pPr>
      <w:r>
        <w:t xml:space="preserve">Raw material extraction and processing.</w:t>
      </w:r>
    </w:p>
    <w:p>
      <w:pPr>
        <w:numPr>
          <w:ilvl w:val="0"/>
          <w:numId w:val="1001"/>
        </w:numPr>
        <w:pStyle w:val="Compact"/>
      </w:pPr>
      <w:r>
        <w:t xml:space="preserve">Transportation of raw materials to the manufacturing site.</w:t>
      </w:r>
    </w:p>
    <w:p>
      <w:pPr>
        <w:numPr>
          <w:ilvl w:val="0"/>
          <w:numId w:val="1001"/>
        </w:numPr>
        <w:pStyle w:val="Compact"/>
      </w:pPr>
      <w:r>
        <w:t xml:space="preserve">Manufacturing processes, including energy consumption and direct emissions.</w:t>
      </w:r>
    </w:p>
    <w:p>
      <w:pPr>
        <w:numPr>
          <w:ilvl w:val="0"/>
          <w:numId w:val="1001"/>
        </w:numPr>
        <w:pStyle w:val="Compact"/>
      </w:pPr>
      <w:r>
        <w:t xml:space="preserve">Packaging of the finished product.</w:t>
      </w:r>
    </w:p>
    <w:p>
      <w:pPr>
        <w:pStyle w:val="FirstParagraph"/>
      </w:pPr>
      <w:r>
        <w:t xml:space="preserve">For a comprehensive lifecycle perspective, emissions beyond the factory gate, including distribution, use phase, and end-of-life, have also been calculated and categorized under Scope 3, ensuring a holistic understanding of the product\'s environmental footprint.</w:t>
      </w:r>
    </w:p>
    <w:bookmarkEnd w:id="24"/>
    <w:bookmarkStart w:id="25" w:name="geographic-scope"/>
    <w:p>
      <w:pPr>
        <w:pStyle w:val="Heading3"/>
      </w:pPr>
      <w:r>
        <w:t xml:space="preserve">1.3 Geographic Scope</w:t>
      </w:r>
    </w:p>
    <w:p>
      <w:pPr>
        <w:pStyle w:val="FirstParagraph"/>
      </w:pPr>
      <w:r>
        <w:t xml:space="preserve">The final production country for</w:t>
      </w:r>
      <w:r>
        <w:t xml:space="preserve"> </w:t>
      </w:r>
      <w:r>
        <w:t xml:space="preserve">uxuwwukemn</w:t>
      </w:r>
      <w:r>
        <w:t xml:space="preserve"> </w:t>
      </w:r>
      <w:r>
        <w:t xml:space="preserve">is</w:t>
      </w:r>
      <w:r>
        <w:t xml:space="preserve"> </w:t>
      </w:r>
      <w:r>
        <w:t xml:space="preserve">China</w:t>
      </w:r>
      <w:r>
        <w:t xml:space="preserve">. The supply chain focus for this analysis is primarily</w:t>
      </w:r>
      <w:r>
        <w:t xml:space="preserve"> </w:t>
      </w:r>
      <w:r>
        <w:t xml:space="preserve">Europe Focused</w:t>
      </w:r>
      <w:r>
        <w:t xml:space="preserve">, indicating that emission factors and logistics data for upstream processes (raw materials, components) will consider European supplier contexts where applicable, while manufacturing energy profiles will reflect the Chinese context.</w:t>
      </w:r>
    </w:p>
    <w:bookmarkEnd w:id="25"/>
    <w:bookmarkStart w:id="26" w:name="allocation"/>
    <w:p>
      <w:pPr>
        <w:pStyle w:val="Heading3"/>
      </w:pPr>
      <w:r>
        <w:t xml:space="preserve">1.4 Allocation</w:t>
      </w:r>
    </w:p>
    <w:p>
      <w:pPr>
        <w:pStyle w:val="FirstParagraph"/>
      </w:pPr>
      <w:r>
        <w:t xml:space="preserve">Emissions are allocated directly to the functional unit based on material quantities, energy consumption, and transportation distances. Where shared processes or infrastructure are involved, allocation is performed using generally accepted methods such as mass allocation or economic allocation, ensuring that the burden is fairly distributed to the product</w:t>
      </w:r>
      <w:r>
        <w:t xml:space="preserve"> </w:t>
      </w:r>
      <w:r>
        <w:t xml:space="preserve">uxuwwukemn</w:t>
      </w:r>
      <w:r>
        <w:t xml:space="preserve">.</w:t>
      </w:r>
    </w:p>
    <w:p>
      <w:r>
        <w:pict>
          <v:rect style="width:0;height:1.5pt" o:hralign="center" o:hrstd="t" o:hr="t"/>
        </w:pict>
      </w:r>
    </w:p>
    <w:bookmarkEnd w:id="26"/>
    <w:bookmarkEnd w:id="27"/>
    <w:bookmarkStart w:id="34" w:name="X7236c81bf26e56038911d491b275039f579f731"/>
    <w:p>
      <w:pPr>
        <w:pStyle w:val="Heading2"/>
      </w:pPr>
      <w:r>
        <w:t xml:space="preserve">2. Mapping Lifecycle (LCI Inventory Stages) &amp; 3. Data Collection</w:t>
      </w:r>
    </w:p>
    <w:p>
      <w:pPr>
        <w:pStyle w:val="FirstParagraph"/>
      </w:pPr>
      <w:r>
        <w:t xml:space="preserve">This section details the various lifecycle stages considered for</w:t>
      </w:r>
      <w:r>
        <w:t xml:space="preserve"> </w:t>
      </w:r>
      <w:r>
        <w:t xml:space="preserve">uxuwwukemn</w:t>
      </w:r>
      <w:r>
        <w:t xml:space="preserve"> </w:t>
      </w:r>
      <w:r>
        <w:t xml:space="preserve">and the data points collected or estimated. Emissions are categorized according to the GHG Protocol\'s Scope 1, 2, and 3.</w:t>
      </w:r>
    </w:p>
    <w:bookmarkStart w:id="29" w:name="Xed5a0f41b83428c02b8bdfe429bfae7a1558234"/>
    <w:p>
      <w:pPr>
        <w:pStyle w:val="Heading3"/>
      </w:pPr>
      <w:r>
        <w:t xml:space="preserve">3.1 Material Acquisition &amp; Processing (Scope 3 - Upstream)</w:t>
      </w:r>
    </w:p>
    <w:p>
      <w:pPr>
        <w:pStyle w:val="FirstParagraph"/>
      </w:pPr>
      <w:r>
        <w:t xml:space="preserve">The Bill of Materials (BOM) for</w:t>
      </w:r>
      <w:r>
        <w:t xml:space="preserve"> </w:t>
      </w:r>
      <w:r>
        <w:t xml:space="preserve">uxuwwukemn</w:t>
      </w:r>
      <w:r>
        <w:t xml:space="preserve"> </w:t>
      </w:r>
      <w:r>
        <w:t xml:space="preserve">forms the foundation for calculating the emissions from raw material acquisition and processing. The provided BOM data, though illustrative here as</w:t>
      </w:r>
      <w:r>
        <w:t xml:space="preserve"> </w:t>
      </w:r>
      <w:r>
        <w:t xml:space="preserve">fdtnpqtf</w:t>
      </w:r>
      <w:r>
        <w:t xml:space="preserve"> </w:t>
      </w:r>
      <w:r>
        <w:t xml:space="preserve">is a placeholder string, is crucial for high-accuracy material impact calculation. For this report, we simulate the structure and values as per the specified format: ID, Description, Category, Process, Qty, Unit, Emission Factor (kg CO2e/unit), and Total Carbon (kg CO2e).</w:t>
      </w:r>
    </w:p>
    <w:bookmarkStart w:id="28" w:name="Xf05d78d86dcfa703f1688b111066c8eabb75bd0"/>
    <w:p>
      <w:pPr>
        <w:pStyle w:val="Heading4"/>
      </w:pPr>
      <w:r>
        <w:t xml:space="preserve">Illustrative Bill of Materials (BOM) for uxuwwukemn</w:t>
      </w:r>
    </w:p>
    <w:p>
      <w:pPr>
        <w:pStyle w:val="FirstParagraph"/>
      </w:pPr>
      <w:r>
        <w:rPr>
          <w:iCs/>
          <w:i/>
        </w:rPr>
        <w:t xml:space="preserve">Note: The following table uses illustrative data to demonstrate the calculation methodology as the specific BOM content for "</w:t>
      </w:r>
      <w:r>
        <w:rPr>
          <w:iCs/>
          <w:i/>
        </w:rPr>
        <w:t xml:space="preserve">fdtnpqtf</w:t>
      </w:r>
      <w:r>
        <w:rPr>
          <w:iCs/>
          <w:i/>
        </w:rPr>
        <w:t xml:space="preserve">" was a placeholder string. In a real analysis, the precise values from the detailed BOM would be used. Emission factors are representative of industry standards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4.2</w:t>
            </w:r>
          </w:p>
        </w:tc>
        <w:tc>
          <w:tcPr/>
          <w:p>
            <w:pPr>
              <w:pStyle w:val="Compact"/>
              <w:jc w:val="left"/>
            </w:pPr>
            <w:r>
              <w:t xml:space="preserve">1.26</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gridSpan w:val="7"/>
          </w:tcPr>
          <w:p>
            <w:pPr>
              <w:pStyle w:val="Compact"/>
              <w:jc w:val="right"/>
            </w:pPr>
            <w:r>
              <w:rPr>
                <w:bCs/>
                <w:b/>
              </w:rPr>
              <w:t xml:space="preserve">Total Material Carbon Impact:</w:t>
            </w:r>
          </w:p>
        </w:tc>
        <w:tc>
          <w:tcPr/>
          <w:p>
            <w:pPr>
              <w:pStyle w:val="Compact"/>
              <w:jc w:val="left"/>
            </w:pPr>
            <w:r>
              <w:rPr>
                <w:bCs/>
                <w:b/>
              </w:rPr>
              <w:t xml:space="preserve">9.71</w:t>
            </w:r>
          </w:p>
        </w:tc>
      </w:tr>
    </w:tbl>
    <w:p>
      <w:pPr>
        <w:pStyle w:val="BodyText"/>
      </w:pPr>
      <w:r>
        <w:t xml:space="preserve">The total material carbon impact from the illustrative BOM is</w:t>
      </w:r>
      <w:r>
        <w:t xml:space="preserve"> </w:t>
      </w:r>
      <w:r>
        <w:t xml:space="preserve">9.71 kg CO2e</w:t>
      </w:r>
      <w:r>
        <w:t xml:space="preserve"> </w:t>
      </w:r>
      <w:r>
        <w:t xml:space="preserve">per functional unit. These emissions fall under</w:t>
      </w:r>
      <w:r>
        <w:t xml:space="preserve"> </w:t>
      </w:r>
      <w:r>
        <w:t xml:space="preserve">Scope 3, Category 1: Purchased Goods and Services</w:t>
      </w:r>
      <w:r>
        <w:t xml:space="preserve">.</w:t>
      </w:r>
    </w:p>
    <w:bookmarkEnd w:id="28"/>
    <w:bookmarkEnd w:id="29"/>
    <w:bookmarkStart w:id="30" w:name="manufacturing-production-phase"/>
    <w:p>
      <w:pPr>
        <w:pStyle w:val="Heading3"/>
      </w:pPr>
      <w:r>
        <w:t xml:space="preserve">3.2 Manufacturing (Production Phase)</w:t>
      </w:r>
    </w:p>
    <w:p>
      <w:pPr>
        <w:pStyle w:val="FirstParagraph"/>
      </w:pPr>
      <w:r>
        <w:t xml:space="preserve">The manufacturing of</w:t>
      </w:r>
      <w:r>
        <w:t xml:space="preserve"> </w:t>
      </w:r>
      <w:r>
        <w:t xml:space="preserve">uxuwwukemn</w:t>
      </w:r>
      <w:r>
        <w:t xml:space="preserve"> </w:t>
      </w:r>
      <w:r>
        <w:t xml:space="preserve">takes place in China. Key data points for this phase include energy consumption and renewable energy usage.</w:t>
      </w:r>
    </w:p>
    <w:p>
      <w:pPr>
        <w:numPr>
          <w:ilvl w:val="0"/>
          <w:numId w:val="1002"/>
        </w:numPr>
        <w:pStyle w:val="Compact"/>
      </w:pPr>
      <w:r>
        <w:rPr>
          <w:bCs/>
          <w:b/>
        </w:rPr>
        <w:t xml:space="preserve">Energy Intensity (kWh/unit):</w:t>
      </w:r>
      <w:r>
        <w:t xml:space="preserve"> </w:t>
      </w:r>
      <w:r>
        <w:t xml:space="preserve">vysozvrmvh</w:t>
      </w:r>
      <w:r>
        <w:t xml:space="preserve"> </w:t>
      </w:r>
      <w:r>
        <w:t xml:space="preserve">(Illustrative: 15 kWh/unit). This represents the total electrical energy consumed per unit of product manufactured.</w:t>
      </w:r>
    </w:p>
    <w:p>
      <w:pPr>
        <w:numPr>
          <w:ilvl w:val="0"/>
          <w:numId w:val="1002"/>
        </w:numPr>
        <w:pStyle w:val="Compact"/>
      </w:pPr>
      <w:r>
        <w:rPr>
          <w:bCs/>
          <w:b/>
        </w:rPr>
        <w:t xml:space="preserve">Renewable Energy Usage:</w:t>
      </w:r>
      <w:r>
        <w:t xml:space="preserve"> </w:t>
      </w:r>
      <w:r>
        <w:t xml:space="preserve">evfrwdrhmz</w:t>
      </w:r>
      <w:r>
        <w:t xml:space="preserve"> </w:t>
      </w:r>
      <w:r>
        <w:t xml:space="preserve">(Illustrative: 50%). This is the percentage of total electricity consumed that comes from renewable sources, impacting Scope 2 emissions.</w:t>
      </w:r>
    </w:p>
    <w:p>
      <w:pPr>
        <w:numPr>
          <w:ilvl w:val="0"/>
          <w:numId w:val="1002"/>
        </w:numPr>
        <w:pStyle w:val="Compact"/>
      </w:pPr>
      <w:r>
        <w:rPr>
          <w:bCs/>
          <w:b/>
        </w:rPr>
        <w:t xml:space="preserve">Grid Emission Factor (China):</w:t>
      </w:r>
      <w:r>
        <w:t xml:space="preserve"> </w:t>
      </w:r>
      <w:r>
        <w:t xml:space="preserve">Approximately 0.65 kg CO2e/kWh (representative industry average for China\'s grid mix).</w:t>
      </w:r>
    </w:p>
    <w:p>
      <w:pPr>
        <w:pStyle w:val="FirstParagraph"/>
      </w:pPr>
      <w:r>
        <w:t xml:space="preserve">Direct emissions from the manufacturing process (e.g., fugitive emissions, process emissions not related to energy) are classified as</w:t>
      </w:r>
      <w:r>
        <w:t xml:space="preserve"> </w:t>
      </w:r>
      <w:r>
        <w:t xml:space="preserve">Scope 1</w:t>
      </w:r>
      <w:r>
        <w:t xml:space="preserve">. Purchased electricity emissions are classified as</w:t>
      </w:r>
      <w:r>
        <w:t xml:space="preserve"> </w:t>
      </w:r>
      <w:r>
        <w:t xml:space="preserve">Scope 2</w:t>
      </w:r>
      <w:r>
        <w:t xml:space="preserve">.</w:t>
      </w:r>
    </w:p>
    <w:bookmarkEnd w:id="30"/>
    <w:bookmarkStart w:id="31" w:name="X8a516c234256bc3b39f4e68bf077eaf44e4f902"/>
    <w:p>
      <w:pPr>
        <w:pStyle w:val="Heading3"/>
      </w:pPr>
      <w:r>
        <w:t xml:space="preserve">3.3 Transport &amp; Distribution (Scope 3 - Downstream &amp; Upstream)</w:t>
      </w:r>
    </w:p>
    <w:p>
      <w:pPr>
        <w:pStyle w:val="FirstParagraph"/>
      </w:pPr>
      <w:r>
        <w:t xml:space="preserve">This section covers the emissions from transporting raw materials to the factory (upstream) and distributing the finished product (downstream).</w:t>
      </w:r>
    </w:p>
    <w:p>
      <w:pPr>
        <w:numPr>
          <w:ilvl w:val="0"/>
          <w:numId w:val="1003"/>
        </w:numPr>
        <w:pStyle w:val="Compact"/>
      </w:pPr>
      <w:r>
        <w:rPr>
          <w:bCs/>
          <w:b/>
        </w:rPr>
        <w:t xml:space="preserve">Upstream Transport (Raw Materials to Factory in China):</w:t>
      </w:r>
      <w:r>
        <w:t xml:space="preserve"> </w:t>
      </w:r>
      <w:r>
        <w:t xml:space="preserve">Assuming an average transport mode of</w:t>
      </w:r>
      <w:r>
        <w:t xml:space="preserve"> </w:t>
      </w:r>
      <w:r>
        <w:t xml:space="preserve">Road Freight (Heavy Goods Vehicle - HGV)</w:t>
      </w:r>
      <w:r>
        <w:t xml:space="preserve"> </w:t>
      </w:r>
      <w:r>
        <w:t xml:space="preserve">and an illustrative average distance of</w:t>
      </w:r>
      <w:r>
        <w:t xml:space="preserve"> </w:t>
      </w:r>
      <w:r>
        <w:t xml:space="preserve">1,000 km</w:t>
      </w:r>
      <w:r>
        <w:t xml:space="preserve"> </w:t>
      </w:r>
      <w:r>
        <w:t xml:space="preserve">(based on \'Europe Focused\' supply chain, transporting to China). Emission Factor (Road Freight, HGV): ~0.1 kg CO2e/tonne-km.</w:t>
      </w:r>
    </w:p>
    <w:p>
      <w:pPr>
        <w:numPr>
          <w:ilvl w:val="0"/>
          <w:numId w:val="1003"/>
        </w:numPr>
        <w:pStyle w:val="Compact"/>
      </w:pPr>
      <w:r>
        <w:rPr>
          <w:bCs/>
          <w:b/>
        </w:rPr>
        <w:t xml:space="preserve">Downstream Transport (Factory Gate to Customer):</w:t>
      </w:r>
      <w:r>
        <w:t xml:space="preserve"> </w:t>
      </w:r>
      <w:r>
        <w:t xml:space="preserve">This includes primary transport from the factory and last-mile delivery.</w:t>
      </w:r>
    </w:p>
    <w:p>
      <w:pPr>
        <w:numPr>
          <w:ilvl w:val="1"/>
          <w:numId w:val="1004"/>
        </w:numPr>
        <w:pStyle w:val="Compact"/>
      </w:pPr>
      <w:r>
        <w:rPr>
          <w:bCs/>
          <w:b/>
        </w:rPr>
        <w:t xml:space="preserve">Primary Transport (China to Europe):</w:t>
      </w:r>
      <w:r>
        <w:t xml:space="preserve"> </w:t>
      </w:r>
      <w:r>
        <w:t xml:space="preserve">Illustrative mode:</w:t>
      </w:r>
      <w:r>
        <w:t xml:space="preserve"> </w:t>
      </w:r>
      <w:r>
        <w:t xml:space="preserve">Ocean Freight (Container Ship)</w:t>
      </w:r>
      <w:r>
        <w:t xml:space="preserve"> </w:t>
      </w:r>
      <w:r>
        <w:t xml:space="preserve">for a distance of</w:t>
      </w:r>
      <w:r>
        <w:t xml:space="preserve"> </w:t>
      </w:r>
      <w:r>
        <w:t xml:space="preserve">15,000 km</w:t>
      </w:r>
      <w:r>
        <w:t xml:space="preserve">. Emission Factor (Ocean Freight): ~0.01 kg CO2e/tonne-km.</w:t>
      </w:r>
    </w:p>
    <w:p>
      <w:pPr>
        <w:numPr>
          <w:ilvl w:val="1"/>
          <w:numId w:val="1004"/>
        </w:numPr>
        <w:pStyle w:val="Compact"/>
      </w:pPr>
      <w:r>
        <w:rPr>
          <w:bCs/>
          <w:b/>
        </w:rPr>
        <w:t xml:space="preserve">Last-Mile Delivery Channel:</w:t>
      </w:r>
      <w:r>
        <w:t xml:space="preserve"> </w:t>
      </w:r>
      <w:r>
        <w:t xml:space="preserve">Delivery Type</w:t>
      </w:r>
      <w:r>
        <w:t xml:space="preserve"> </w:t>
      </w:r>
      <w:r>
        <w:t xml:space="preserve">(Illustrative: Light Commercial Vehicle - LCV) for an average distance of</w:t>
      </w:r>
      <w:r>
        <w:t xml:space="preserve"> </w:t>
      </w:r>
      <w:r>
        <w:t xml:space="preserve">200 km</w:t>
      </w:r>
      <w:r>
        <w:t xml:space="preserve"> </w:t>
      </w:r>
      <w:r>
        <w:t xml:space="preserve">within Europe. Emission Factor (LCV): ~0.2 kg CO2e/tonne-km.</w:t>
      </w:r>
    </w:p>
    <w:p>
      <w:pPr>
        <w:pStyle w:val="FirstParagraph"/>
      </w:pPr>
      <w:r>
        <w:t xml:space="preserve">Transport emissions are categorized under</w:t>
      </w:r>
      <w:r>
        <w:t xml:space="preserve"> </w:t>
      </w:r>
      <w:r>
        <w:t xml:space="preserve">Scope 3, Categories 4 (Upstream Transportation and Distribution) and 9 (Downstream Transportation and Distribution)</w:t>
      </w:r>
      <w:r>
        <w:t xml:space="preserve">.</w:t>
      </w:r>
    </w:p>
    <w:bookmarkEnd w:id="31"/>
    <w:bookmarkStart w:id="32" w:name="use-phase-scope-3---downstream"/>
    <w:p>
      <w:pPr>
        <w:pStyle w:val="Heading3"/>
      </w:pPr>
      <w:r>
        <w:t xml:space="preserve">3.4 Use Phase (Scope 3 - Downstream)</w:t>
      </w:r>
    </w:p>
    <w:p>
      <w:pPr>
        <w:pStyle w:val="FirstParagraph"/>
      </w:pPr>
      <w:r>
        <w:t xml:space="preserve">The use phase emissions are critical for products with energy consumption during their operational life.</w:t>
      </w:r>
    </w:p>
    <w:p>
      <w:pPr>
        <w:numPr>
          <w:ilvl w:val="0"/>
          <w:numId w:val="1005"/>
        </w:numPr>
        <w:pStyle w:val="Compact"/>
      </w:pPr>
      <w:r>
        <w:rPr>
          <w:bCs/>
          <w:b/>
        </w:rPr>
        <w:t xml:space="preserve">Product Lifespan:</w:t>
      </w:r>
      <w:r>
        <w:t xml:space="preserve"> </w:t>
      </w:r>
      <w:r>
        <w:t xml:space="preserve">opzxeppvzs</w:t>
      </w:r>
      <w:r>
        <w:t xml:space="preserve"> </w:t>
      </w:r>
      <w:r>
        <w:t xml:space="preserve">(Illustrative: 5 years).</w:t>
      </w:r>
    </w:p>
    <w:p>
      <w:pPr>
        <w:numPr>
          <w:ilvl w:val="0"/>
          <w:numId w:val="1005"/>
        </w:numPr>
        <w:pStyle w:val="Compact"/>
      </w:pPr>
      <w:r>
        <w:rPr>
          <w:bCs/>
          <w:b/>
        </w:rPr>
        <w:t xml:space="preserve">Energy Consumption in Use:</w:t>
      </w:r>
      <w:r>
        <w:t xml:space="preserve"> </w:t>
      </w:r>
      <w:r>
        <w:t xml:space="preserve">tgljqtomfx</w:t>
      </w:r>
      <w:r>
        <w:t xml:space="preserve"> </w:t>
      </w:r>
      <w:r>
        <w:t xml:space="preserve">(Illustrative: 10 kWh/year). This is the annual electrical energy consumed by the product during its operational lifespan.</w:t>
      </w:r>
    </w:p>
    <w:p>
      <w:pPr>
        <w:numPr>
          <w:ilvl w:val="0"/>
          <w:numId w:val="1005"/>
        </w:numPr>
        <w:pStyle w:val="Compact"/>
      </w:pPr>
      <w:r>
        <w:rPr>
          <w:bCs/>
          <w:b/>
        </w:rPr>
        <w:t xml:space="preserve">Grid Emission Factor (Europe Average):</w:t>
      </w:r>
      <w:r>
        <w:t xml:space="preserve"> </w:t>
      </w:r>
      <w:r>
        <w:t xml:space="preserve">Approximately 0.25 kg CO2e/kWh (representative industry average for European grid mix).</w:t>
      </w:r>
    </w:p>
    <w:p>
      <w:pPr>
        <w:pStyle w:val="FirstParagraph"/>
      </w:pPr>
      <w:r>
        <w:t xml:space="preserve">Use phase emissions fall under</w:t>
      </w:r>
      <w:r>
        <w:t xml:space="preserve"> </w:t>
      </w:r>
      <w:r>
        <w:t xml:space="preserve">Scope 3, Category 11: Use of Sold Products</w:t>
      </w:r>
      <w:r>
        <w:t xml:space="preserve">.</w:t>
      </w:r>
    </w:p>
    <w:bookmarkEnd w:id="32"/>
    <w:bookmarkStart w:id="33" w:name="Xac8faad78128a5ec4298340ff70b88499018023"/>
    <w:p>
      <w:pPr>
        <w:pStyle w:val="Heading3"/>
      </w:pPr>
      <w:r>
        <w:t xml:space="preserve">3.5 End-of-Life (EoL) Treatment (Scope 3 - Downstream)</w:t>
      </w:r>
    </w:p>
    <w:p>
      <w:pPr>
        <w:pStyle w:val="FirstParagraph"/>
      </w:pPr>
      <w:r>
        <w:t xml:space="preserve">The end-of-life scenario considers the recyclability and circular economy initiatives for</w:t>
      </w:r>
      <w:r>
        <w:t xml:space="preserve"> </w:t>
      </w:r>
      <w:r>
        <w:t xml:space="preserve">uxuwwukemn</w:t>
      </w:r>
      <w:r>
        <w:t xml:space="preserve">.</w:t>
      </w:r>
    </w:p>
    <w:p>
      <w:pPr>
        <w:numPr>
          <w:ilvl w:val="0"/>
          <w:numId w:val="1006"/>
        </w:numPr>
        <w:pStyle w:val="Compact"/>
      </w:pPr>
      <w:r>
        <w:rPr>
          <w:bCs/>
          <w:b/>
        </w:rPr>
        <w:t xml:space="preserve">Recyclability Percentage:</w:t>
      </w:r>
      <w:r>
        <w:t xml:space="preserve"> </w:t>
      </w:r>
      <w:r>
        <w:t xml:space="preserve">syepmfylpn</w:t>
      </w:r>
      <w:r>
        <w:t xml:space="preserve"> </w:t>
      </w:r>
      <w:r>
        <w:t xml:space="preserve">(Illustrative: 70%). This represents the portion of the product\'s mass that is effectively recycled, avoiding virgin material production.</w:t>
      </w:r>
    </w:p>
    <w:p>
      <w:pPr>
        <w:numPr>
          <w:ilvl w:val="0"/>
          <w:numId w:val="1006"/>
        </w:numPr>
        <w:pStyle w:val="Compact"/>
      </w:pPr>
      <w:r>
        <w:rPr>
          <w:bCs/>
          <w:b/>
        </w:rPr>
        <w:t xml:space="preserve">Circular/Take-back Programs:</w:t>
      </w:r>
      <w:r>
        <w:t xml:space="preserve"> </w:t>
      </w:r>
      <w:r>
        <w:t xml:space="preserve">ovkenrfgey</w:t>
      </w:r>
      <w:r>
        <w:t xml:space="preserve"> </w:t>
      </w:r>
      <w:r>
        <w:t xml:space="preserve">(Illustrative: Product Take-back Program in place). The presence of such programs can significantly reduce waste to landfill and promote material circularity.</w:t>
      </w:r>
    </w:p>
    <w:p>
      <w:pPr>
        <w:pStyle w:val="FirstParagraph"/>
      </w:pPr>
      <w:r>
        <w:t xml:space="preserve">EoL emissions and avoided emissions (due to recycling) are categorized under</w:t>
      </w:r>
      <w:r>
        <w:t xml:space="preserve"> </w:t>
      </w:r>
      <w:r>
        <w:t xml:space="preserve">Scope 3, Category 12: End-of-Life Treatment of Sold Products</w:t>
      </w:r>
      <w:r>
        <w:t xml:space="preserve">. For recycled materials, a credit approach or avoided burden approach can be used, accounting for the GHG savings from replacing virgin materials with recycled ones.</w:t>
      </w:r>
    </w:p>
    <w:p>
      <w:r>
        <w:pict>
          <v:rect style="width:0;height:1.5pt" o:hralign="center" o:hrstd="t" o:hr="t"/>
        </w:pict>
      </w:r>
    </w:p>
    <w:bookmarkEnd w:id="33"/>
    <w:bookmarkEnd w:id="34"/>
    <w:bookmarkStart w:id="45"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by GHG Protocol scopes. All calculations are in kilograms of Carbon Dioxide equivalent (kg CO2e) per functional unit of</w:t>
      </w:r>
      <w:r>
        <w:t xml:space="preserve"> </w:t>
      </w:r>
      <w:r>
        <w:t xml:space="preserve">uxuwwukemn</w:t>
      </w:r>
      <w:r>
        <w:t xml:space="preserve">.</w:t>
      </w:r>
    </w:p>
    <w:bookmarkStart w:id="35" w:name="X9790fcb13de230cdf5bdf626e38367ef82ae63f"/>
    <w:p>
      <w:pPr>
        <w:pStyle w:val="Heading3"/>
      </w:pPr>
      <w:r>
        <w:t xml:space="preserve">4.1 Scope 1 Emissions (Direct Emissions from xpxfisguwl\'s Operations)</w:t>
      </w:r>
    </w:p>
    <w:p>
      <w:pPr>
        <w:pStyle w:val="FirstParagraph"/>
      </w:pPr>
      <w:r>
        <w:t xml:space="preserve">Since the system boundary is</w:t>
      </w:r>
      <w:r>
        <w:t xml:space="preserve"> </w:t>
      </w:r>
      <w:r>
        <w:t xml:space="preserve">factory_gate</w:t>
      </w:r>
      <w:r>
        <w:t xml:space="preserve">, and assuming no direct fuel combustion or significant process emissions not covered by purchased energy at</w:t>
      </w:r>
      <w:r>
        <w:t xml:space="preserve"> </w:t>
      </w:r>
      <w:r>
        <w:t xml:space="preserve">xpxfisguwl</w:t>
      </w:r>
      <w:r>
        <w:t xml:space="preserve">\'s manufacturing facility for</w:t>
      </w:r>
      <w:r>
        <w:t xml:space="preserve"> </w:t>
      </w:r>
      <w:r>
        <w:t xml:space="preserve">uxuwwukemn</w:t>
      </w:r>
      <w:r>
        <w:t xml:space="preserve">, the Scope 1 emissions are considered negligible or zero for this product-level assessment focused on typical manufacturing. If direct combustion of fuels or process emissions from chemical reactions were present, they would be quantified here.</w:t>
      </w:r>
    </w:p>
    <w:p>
      <w:pPr>
        <w:pStyle w:val="BodyText"/>
      </w:pPr>
      <w:r>
        <w:rPr>
          <w:bCs/>
          <w:b/>
        </w:rPr>
        <w:t xml:space="preserve">Total Scope 1 Emissions: 0.00 kg CO2e</w:t>
      </w:r>
      <w:r>
        <w:t xml:space="preserve"> </w:t>
      </w:r>
      <w:r>
        <w:t xml:space="preserve">(Assumed negligible for product manufacturing without specific direct fuel consumption data).</w:t>
      </w:r>
    </w:p>
    <w:bookmarkEnd w:id="35"/>
    <w:bookmarkStart w:id="36" w:name="X7155ef7ba1bb430a4cfc7957207f971b3e0a654"/>
    <w:p>
      <w:pPr>
        <w:pStyle w:val="Heading3"/>
      </w:pPr>
      <w:r>
        <w:t xml:space="preserve">4.2 Scope 2 Emissions (Emissions from Purchased Electricity)</w:t>
      </w:r>
    </w:p>
    <w:p>
      <w:pPr>
        <w:pStyle w:val="FirstParagraph"/>
      </w:pPr>
      <w:r>
        <w:t xml:space="preserve">These are indirect emissions from the generation of purchased electricity consumed by</w:t>
      </w:r>
      <w:r>
        <w:t xml:space="preserve"> </w:t>
      </w:r>
      <w:r>
        <w:t xml:space="preserve">xpxfisguwl</w:t>
      </w:r>
      <w:r>
        <w:t xml:space="preserve">\'s manufacturing facility in China.</w:t>
      </w:r>
    </w:p>
    <w:p>
      <w:pPr>
        <w:numPr>
          <w:ilvl w:val="0"/>
          <w:numId w:val="1007"/>
        </w:numPr>
        <w:pStyle w:val="Compact"/>
      </w:pPr>
      <w:r>
        <w:t xml:space="preserve">Energy Intensity: 15 kWh/unit</w:t>
      </w:r>
    </w:p>
    <w:p>
      <w:pPr>
        <w:numPr>
          <w:ilvl w:val="0"/>
          <w:numId w:val="1007"/>
        </w:numPr>
        <w:pStyle w:val="Compact"/>
      </w:pPr>
      <w:r>
        <w:t xml:space="preserve">Renewable Energy Usage: 50%</w:t>
      </w:r>
    </w:p>
    <w:p>
      <w:pPr>
        <w:numPr>
          <w:ilvl w:val="0"/>
          <w:numId w:val="1007"/>
        </w:numPr>
        <w:pStyle w:val="Compact"/>
      </w:pPr>
      <w:r>
        <w:t xml:space="preserve">Non-Renewable Energy Consumption: 15 kWh/unit * (1 - 0.50) = 7.5 kWh/unit</w:t>
      </w:r>
    </w:p>
    <w:p>
      <w:pPr>
        <w:numPr>
          <w:ilvl w:val="0"/>
          <w:numId w:val="1007"/>
        </w:numPr>
        <w:pStyle w:val="Compact"/>
      </w:pPr>
      <w:r>
        <w:t xml:space="preserve">Grid Emission Factor (China): 0.65 kg CO2e/kWh</w:t>
      </w:r>
    </w:p>
    <w:p>
      <w:pPr>
        <w:pStyle w:val="FirstParagraph"/>
      </w:pPr>
      <w:r>
        <w:t xml:space="preserve">Calculation: 7.5 kWh/unit * 0.65 kg CO2e/kWh = 4.88 kg CO2e</w:t>
      </w:r>
    </w:p>
    <w:p>
      <w:pPr>
        <w:pStyle w:val="BodyText"/>
      </w:pPr>
      <w:r>
        <w:rPr>
          <w:bCs/>
          <w:b/>
        </w:rPr>
        <w:t xml:space="preserve">Total Scope 2 Emissions: 4.88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majority of the product\'s footprint and are broken down by category. We aim for at least</w:t>
      </w:r>
      <w:r>
        <w:t xml:space="preserve"> </w:t>
      </w:r>
      <w:r>
        <w:t xml:space="preserve">95% coverage</w:t>
      </w:r>
      <w:r>
        <w:t xml:space="preserve"> </w:t>
      </w:r>
      <w:r>
        <w:t xml:space="preserve">as per 2026 requirements.</w:t>
      </w:r>
    </w:p>
    <w:bookmarkStart w:id="37" w:name="X9b53c4fa7e02594ab9ced3552c7ef7a0db11ec7"/>
    <w:p>
      <w:pPr>
        <w:pStyle w:val="Heading4"/>
      </w:pPr>
      <w:r>
        <w:t xml:space="preserve">4.3.1 Category 1: Purchased Goods and Services (Material Acquisition)</w:t>
      </w:r>
    </w:p>
    <w:p>
      <w:pPr>
        <w:pStyle w:val="FirstParagraph"/>
      </w:pPr>
      <w:r>
        <w:t xml:space="preserve">Based on the illustrative BOM provided in Section 3.1:</w:t>
      </w:r>
    </w:p>
    <w:p>
      <w:pPr>
        <w:numPr>
          <w:ilvl w:val="0"/>
          <w:numId w:val="1008"/>
        </w:numPr>
        <w:pStyle w:val="Compact"/>
      </w:pPr>
      <w:r>
        <w:t xml:space="preserve">Total Material Carbon Impact: 9.71 kg CO2e</w:t>
      </w:r>
    </w:p>
    <w:p>
      <w:pPr>
        <w:pStyle w:val="FirstParagraph"/>
      </w:pPr>
      <w:r>
        <w:rPr>
          <w:bCs/>
          <w:b/>
        </w:rPr>
        <w:t xml:space="preserve">Total Scope 3, Category 1 Emissions: 9.71 kg CO2e</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to the manufacturing facility in China.</w:t>
      </w:r>
    </w:p>
    <w:p>
      <w:pPr>
        <w:numPr>
          <w:ilvl w:val="0"/>
          <w:numId w:val="1009"/>
        </w:numPr>
        <w:pStyle w:val="Compact"/>
      </w:pPr>
      <w:r>
        <w:t xml:space="preserve">Assumed Product Weight: ~1.5 kg (sum of illustrative BOM quantities)</w:t>
      </w:r>
    </w:p>
    <w:p>
      <w:pPr>
        <w:numPr>
          <w:ilvl w:val="0"/>
          <w:numId w:val="1009"/>
        </w:numPr>
        <w:pStyle w:val="Compact"/>
      </w:pPr>
      <w:r>
        <w:t xml:space="preserve">Transport Mode: Road Freight (HGV)</w:t>
      </w:r>
    </w:p>
    <w:p>
      <w:pPr>
        <w:numPr>
          <w:ilvl w:val="0"/>
          <w:numId w:val="1009"/>
        </w:numPr>
        <w:pStyle w:val="Compact"/>
      </w:pPr>
      <w:r>
        <w:t xml:space="preserve">Distance: 1,000 km</w:t>
      </w:r>
    </w:p>
    <w:p>
      <w:pPr>
        <w:numPr>
          <w:ilvl w:val="0"/>
          <w:numId w:val="1009"/>
        </w:numPr>
        <w:pStyle w:val="Compact"/>
      </w:pPr>
      <w:r>
        <w:t xml:space="preserve">Emission Factor: 0.1 kg CO2e/tonne-km</w:t>
      </w:r>
    </w:p>
    <w:p>
      <w:pPr>
        <w:pStyle w:val="FirstParagraph"/>
      </w:pPr>
      <w:r>
        <w:t xml:space="preserve">Calculation: (1.5 kg / 1000 kg/tonne) * 1,000 km * 0.1 kg CO2e/tonne-km = 0.15 kg CO2e</w:t>
      </w:r>
    </w:p>
    <w:p>
      <w:pPr>
        <w:pStyle w:val="BodyText"/>
      </w:pPr>
      <w:r>
        <w:rPr>
          <w:bCs/>
          <w:b/>
        </w:rPr>
        <w:t xml:space="preserve">Total Scope 3, Category 4 Emissions: 0.15 kg CO2e</w:t>
      </w:r>
    </w:p>
    <w:bookmarkEnd w:id="38"/>
    <w:bookmarkStart w:id="39" w:name="X25a0837e2ca53a982bfb6f58a50970139f4f25f"/>
    <w:p>
      <w:pPr>
        <w:pStyle w:val="Heading4"/>
      </w:pPr>
      <w:r>
        <w:t xml:space="preserve">4.3.3 Category 9: Downstream Transportation and Distribution</w:t>
      </w:r>
    </w:p>
    <w:p>
      <w:pPr>
        <w:pStyle w:val="FirstParagraph"/>
      </w:pPr>
      <w:r>
        <w:t xml:space="preserve">Emissions from delivering the finished product from the factory to the end-customer.</w:t>
      </w:r>
    </w:p>
    <w:p>
      <w:pPr>
        <w:numPr>
          <w:ilvl w:val="0"/>
          <w:numId w:val="1010"/>
        </w:numPr>
        <w:pStyle w:val="Compact"/>
      </w:pPr>
      <w:r>
        <w:t xml:space="preserve">Assumed Product Weight: ~1.5 kg</w:t>
      </w:r>
    </w:p>
    <w:p>
      <w:pPr>
        <w:numPr>
          <w:ilvl w:val="0"/>
          <w:numId w:val="1010"/>
        </w:numPr>
        <w:pStyle w:val="Compact"/>
      </w:pPr>
      <w:r>
        <w:rPr>
          <w:bCs/>
          <w:b/>
        </w:rPr>
        <w:t xml:space="preserve">Primary Transport (Ocean Freight):</w:t>
      </w:r>
    </w:p>
    <w:p>
      <w:pPr>
        <w:numPr>
          <w:ilvl w:val="1"/>
          <w:numId w:val="1011"/>
        </w:numPr>
        <w:pStyle w:val="Compact"/>
      </w:pPr>
      <w:r>
        <w:t xml:space="preserve">Distance: 15,000 km</w:t>
      </w:r>
    </w:p>
    <w:p>
      <w:pPr>
        <w:numPr>
          <w:ilvl w:val="1"/>
          <w:numId w:val="1011"/>
        </w:numPr>
        <w:pStyle w:val="Compact"/>
      </w:pPr>
      <w:r>
        <w:t xml:space="preserve">Emission Factor: 0.01 kg CO2e/tonne-km</w:t>
      </w:r>
    </w:p>
    <w:p>
      <w:pPr>
        <w:numPr>
          <w:ilvl w:val="1"/>
          <w:numId w:val="1011"/>
        </w:numPr>
        <w:pStyle w:val="Compact"/>
      </w:pPr>
      <w:r>
        <w:t xml:space="preserve">Calculation: (1.5 kg / 1000 kg/tonne) * 15,000 km * 0.01 kg CO2e/tonne-km = 0.23 kg CO2e</w:t>
      </w:r>
    </w:p>
    <w:p>
      <w:pPr>
        <w:numPr>
          <w:ilvl w:val="0"/>
          <w:numId w:val="1010"/>
        </w:numPr>
        <w:pStyle w:val="Compact"/>
      </w:pPr>
      <w:r>
        <w:rPr>
          <w:bCs/>
          <w:b/>
        </w:rPr>
        <w:t xml:space="preserve">Last-Mile Delivery (LCV):</w:t>
      </w:r>
    </w:p>
    <w:p>
      <w:pPr>
        <w:numPr>
          <w:ilvl w:val="1"/>
          <w:numId w:val="1012"/>
        </w:numPr>
        <w:pStyle w:val="Compact"/>
      </w:pPr>
      <w:r>
        <w:t xml:space="preserve">Distance: 200 km</w:t>
      </w:r>
    </w:p>
    <w:p>
      <w:pPr>
        <w:numPr>
          <w:ilvl w:val="1"/>
          <w:numId w:val="1012"/>
        </w:numPr>
        <w:pStyle w:val="Compact"/>
      </w:pPr>
      <w:r>
        <w:t xml:space="preserve">Emission Factor: 0.2 kg CO2e/tonne-km</w:t>
      </w:r>
    </w:p>
    <w:p>
      <w:pPr>
        <w:numPr>
          <w:ilvl w:val="1"/>
          <w:numId w:val="1012"/>
        </w:numPr>
        <w:pStyle w:val="Compact"/>
      </w:pPr>
      <w:r>
        <w:t xml:space="preserve">Calculation: (1.5 kg / 1000 kg/tonne) * 200 km * 0.2 kg CO2e/tonne-km = 0.06 kg CO2e</w:t>
      </w:r>
    </w:p>
    <w:p>
      <w:pPr>
        <w:pStyle w:val="FirstParagraph"/>
      </w:pPr>
      <w:r>
        <w:t xml:space="preserve">Total Downstream Transport: 0.23 kg CO2e + 0.06 kg CO2e = 0.29 kg CO2e</w:t>
      </w:r>
    </w:p>
    <w:p>
      <w:pPr>
        <w:pStyle w:val="BodyText"/>
      </w:pPr>
      <w:r>
        <w:rPr>
          <w:bCs/>
          <w:b/>
        </w:rPr>
        <w:t xml:space="preserve">Total Scope 3, Category 9 Emissions: 0.29 kg CO2e</w:t>
      </w:r>
    </w:p>
    <w:bookmarkEnd w:id="39"/>
    <w:bookmarkStart w:id="40" w:name="category-11-use-of-sold-products"/>
    <w:p>
      <w:pPr>
        <w:pStyle w:val="Heading4"/>
      </w:pPr>
      <w:r>
        <w:t xml:space="preserve">4.3.4 Category 11: Use of Sold Products</w:t>
      </w:r>
    </w:p>
    <w:p>
      <w:pPr>
        <w:pStyle w:val="FirstParagraph"/>
      </w:pPr>
      <w:r>
        <w:t xml:space="preserve">Emissions from the electrical consumption during the product\'s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5 years * 10 kWh/year = 50 kWh</w:t>
      </w:r>
    </w:p>
    <w:p>
      <w:pPr>
        <w:numPr>
          <w:ilvl w:val="0"/>
          <w:numId w:val="1013"/>
        </w:numPr>
        <w:pStyle w:val="Compact"/>
      </w:pPr>
      <w:r>
        <w:t xml:space="preserve">Grid Emission Factor (Europe Average): 0.25 kg CO2e/kWh</w:t>
      </w:r>
    </w:p>
    <w:p>
      <w:pPr>
        <w:pStyle w:val="FirstParagraph"/>
      </w:pPr>
      <w:r>
        <w:t xml:space="preserve">Calculation: 50 kWh * 0.25 kg CO2e/kWh = 12.50 kg CO2e</w:t>
      </w:r>
    </w:p>
    <w:p>
      <w:pPr>
        <w:pStyle w:val="BodyText"/>
      </w:pPr>
      <w:r>
        <w:rPr>
          <w:bCs/>
          <w:b/>
        </w:rPr>
        <w:t xml:space="preserve">Total Scope 3, Category 11 Emissions: 12.50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from waste treatment and recycling.</w:t>
      </w:r>
    </w:p>
    <w:p>
      <w:pPr>
        <w:numPr>
          <w:ilvl w:val="0"/>
          <w:numId w:val="1014"/>
        </w:numPr>
        <w:pStyle w:val="Compact"/>
      </w:pPr>
      <w:r>
        <w:t xml:space="preserve">Assumed Product Weight: ~1.5 kg</w:t>
      </w:r>
    </w:p>
    <w:p>
      <w:pPr>
        <w:numPr>
          <w:ilvl w:val="0"/>
          <w:numId w:val="1014"/>
        </w:numPr>
        <w:pStyle w:val="Compact"/>
      </w:pPr>
      <w:r>
        <w:t xml:space="preserve">Recyclability Percentage: 70%</w:t>
      </w:r>
    </w:p>
    <w:p>
      <w:pPr>
        <w:numPr>
          <w:ilvl w:val="0"/>
          <w:numId w:val="1014"/>
        </w:numPr>
        <w:pStyle w:val="Compact"/>
      </w:pPr>
      <w:r>
        <w:t xml:space="preserve">Mass Recycled: 1.5 kg * 0.70 = 1.05 kg</w:t>
      </w:r>
    </w:p>
    <w:p>
      <w:pPr>
        <w:numPr>
          <w:ilvl w:val="0"/>
          <w:numId w:val="1014"/>
        </w:numPr>
        <w:pStyle w:val="Compact"/>
      </w:pPr>
      <w:r>
        <w:t xml:space="preserve">Mass to Landfill/Incineration: 1.5 kg * 0.30 = 0.45 kg</w:t>
      </w:r>
    </w:p>
    <w:p>
      <w:pPr>
        <w:numPr>
          <w:ilvl w:val="0"/>
          <w:numId w:val="1014"/>
        </w:numPr>
        <w:pStyle w:val="Compact"/>
      </w:pPr>
      <w:r>
        <w:t xml:space="preserve">Emission Factor (Landfill/Incineration, mixed waste): ~1.0 kg CO2e/kg (illustrative).</w:t>
      </w:r>
    </w:p>
    <w:p>
      <w:pPr>
        <w:numPr>
          <w:ilvl w:val="0"/>
          <w:numId w:val="1014"/>
        </w:numPr>
        <w:pStyle w:val="Compact"/>
      </w:pPr>
      <w:r>
        <w:t xml:space="preserve">Avoided Emission Factor (Recycling, mixed materials): ~ (-1.5) kg CO2e/kg (illustrative, for displacing virgin material).</w:t>
      </w:r>
    </w:p>
    <w:p>
      <w:pPr>
        <w:pStyle w:val="FirstParagraph"/>
      </w:pPr>
      <w:r>
        <w:t xml:space="preserve">Calculation for waste disposal: 0.45 kg * 1.0 kg CO2e/kg = 0.45 kg CO2e</w:t>
      </w:r>
      <w:r>
        <w:br/>
      </w:r>
      <w:r>
        <w:t xml:space="preserve">Calculation for recycling credit: 1.05 kg * (-1.5) kg CO2e/kg = -1.58 kg CO2e</w:t>
      </w:r>
    </w:p>
    <w:p>
      <w:pPr>
        <w:pStyle w:val="BodyText"/>
      </w:pPr>
      <w:r>
        <w:t xml:space="preserve">Total EoL Impact: 0.45 kg CO2e - 1.58 kg CO2e = -1.13 kg CO2e</w:t>
      </w:r>
    </w:p>
    <w:p>
      <w:pPr>
        <w:pStyle w:val="BodyText"/>
      </w:pPr>
      <w:r>
        <w:t xml:space="preserve">The negative value indicates a net carbon benefit due to high recyclability and the displacement of virgin materials. The presence of</w:t>
      </w:r>
      <w:r>
        <w:t xml:space="preserve"> </w:t>
      </w:r>
      <w:r>
        <w:t xml:space="preserve">Circular/Take-back Programs (ovkenrfgey)</w:t>
      </w:r>
      <w:r>
        <w:t xml:space="preserve"> </w:t>
      </w:r>
      <w:r>
        <w:t xml:space="preserve">further facilitates this material circularity.</w:t>
      </w:r>
    </w:p>
    <w:p>
      <w:pPr>
        <w:pStyle w:val="BodyText"/>
      </w:pPr>
      <w:r>
        <w:rPr>
          <w:bCs/>
          <w:b/>
        </w:rPr>
        <w:t xml:space="preserve">Total Scope 3, Category 12 Emissions: -1.13 kg CO2e</w:t>
      </w:r>
    </w:p>
    <w:bookmarkEnd w:id="41"/>
    <w:bookmarkEnd w:id="42"/>
    <w:bookmarkStart w:id="43" w:name="summary-of-ghg-emissions-by-scope"/>
    <w:p>
      <w:pPr>
        <w:pStyle w:val="Heading3"/>
      </w:pPr>
      <w:r>
        <w:t xml:space="preserve">4.4 Summary of GHG Emissions by Scope</w:t>
      </w:r>
    </w:p>
    <w:p>
      <w:pPr>
        <w:pStyle w:val="FirstParagraph"/>
      </w:pPr>
      <w:r>
        <w:t xml:space="preserve">This table summarizes the calculated GHG emissions for</w:t>
      </w:r>
      <w:r>
        <w:t xml:space="preserve"> </w:t>
      </w:r>
      <w:r>
        <w:t xml:space="preserve">uxuwwukemn</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4.88</w:t>
            </w:r>
          </w:p>
        </w:tc>
        <w:tc>
          <w:tcPr/>
          <w:p>
            <w:pPr>
              <w:pStyle w:val="Compact"/>
              <w:jc w:val="left"/>
            </w:pPr>
            <w:r>
              <w:t xml:space="preserve">15.86%</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9.71</w:t>
            </w:r>
          </w:p>
        </w:tc>
        <w:tc>
          <w:tcPr/>
          <w:p>
            <w:pPr>
              <w:pStyle w:val="Compact"/>
              <w:jc w:val="left"/>
            </w:pPr>
            <w:r>
              <w:t xml:space="preserve">31.57%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0.15</w:t>
            </w:r>
          </w:p>
        </w:tc>
        <w:tc>
          <w:tcPr/>
          <w:p>
            <w:pPr>
              <w:pStyle w:val="Compact"/>
              <w:jc w:val="left"/>
            </w:pPr>
            <w:r>
              <w:t xml:space="preserve">0.49%</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0.29</w:t>
            </w:r>
          </w:p>
        </w:tc>
        <w:tc>
          <w:tcPr/>
          <w:p>
            <w:pPr>
              <w:pStyle w:val="Compact"/>
              <w:jc w:val="left"/>
            </w:pPr>
            <w:r>
              <w:t xml:space="preserve">0.94%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40.64%</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-1.13</w:t>
            </w:r>
          </w:p>
        </w:tc>
        <w:tc>
          <w:tcPr/>
          <w:p>
            <w:pPr>
              <w:pStyle w:val="Compact"/>
              <w:jc w:val="left"/>
            </w:pPr>
            <w:r>
              <w:t xml:space="preserve">-3.68%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30.40 kg CO2e</w:t>
            </w:r>
          </w:p>
        </w:tc>
        <w:tc>
          <w:tcPr/>
          <w:p>
            <w:pPr>
              <w:pStyle w:val="Compact"/>
              <w:jc w:val="left"/>
            </w:pPr>
            <w:r>
              <w:rPr>
                <w:bCs/>
                <w:b/>
              </w:rPr>
              <w:t xml:space="preserve">100.00%</w:t>
            </w:r>
          </w:p>
        </w:tc>
      </w:tr>
    </w:tbl>
    <w:p>
      <w:pPr>
        <w:pStyle w:val="BodyText"/>
      </w:pPr>
      <w:r>
        <w:rPr>
          <w:iCs/>
          <w:i/>
        </w:rPr>
        <w:t xml:space="preserve">Note: Percentages are calculated based on the sum of positive emissions.</w:t>
      </w:r>
    </w:p>
    <w:bookmarkEnd w:id="43"/>
    <w:bookmarkStart w:id="44" w:name="X504f4a86e01fdcfa46a4589bb1b5e0cfaad8629"/>
    <w:p>
      <w:pPr>
        <w:pStyle w:val="Heading3"/>
      </w:pPr>
      <w:r>
        <w:t xml:space="preserve">4.5 2026 Land Sector and Removals (LSR) Standard Update</w:t>
      </w:r>
    </w:p>
    <w:p>
      <w:pPr>
        <w:pStyle w:val="FirstParagraph"/>
      </w:pPr>
      <w:r>
        <w:t xml:space="preserve">The</w:t>
      </w:r>
      <w:r>
        <w:t xml:space="preserve"> </w:t>
      </w:r>
      <w:r>
        <w:t xml:space="preserve">GHG Protocol\'s 2026 LSR Standard</w:t>
      </w:r>
      <w:r>
        <w:t xml:space="preserve"> </w:t>
      </w:r>
      <w:r>
        <w:t xml:space="preserve">emphasizes the reporting of land use emissions and carbon removals. While specific land use data for the raw material acquisition and processing of</w:t>
      </w:r>
      <w:r>
        <w:t xml:space="preserve"> </w:t>
      </w:r>
      <w:r>
        <w:t xml:space="preserve">uxuwwukemn</w:t>
      </w:r>
      <w:r>
        <w:t xml:space="preserve">\'s components was not provided, future analyses should incorporate:</w:t>
      </w:r>
    </w:p>
    <w:p>
      <w:pPr>
        <w:numPr>
          <w:ilvl w:val="0"/>
          <w:numId w:val="1015"/>
        </w:numPr>
        <w:pStyle w:val="Compact"/>
      </w:pPr>
      <w:r>
        <w:rPr>
          <w:bCs/>
          <w:b/>
        </w:rPr>
        <w:t xml:space="preserve">Land Use Change Emissions:</w:t>
      </w:r>
      <w:r>
        <w:t xml:space="preserve"> </w:t>
      </w:r>
      <w:r>
        <w:t xml:space="preserve">Emissions from deforestation or land conversion associated with raw material sourcing (e.g., timber, agricultural products).</w:t>
      </w:r>
    </w:p>
    <w:p>
      <w:pPr>
        <w:numPr>
          <w:ilvl w:val="0"/>
          <w:numId w:val="1015"/>
        </w:numPr>
        <w:pStyle w:val="Compact"/>
      </w:pPr>
      <w:r>
        <w:rPr>
          <w:bCs/>
          <w:b/>
        </w:rPr>
        <w:t xml:space="preserve">Carbon Removals:</w:t>
      </w:r>
      <w:r>
        <w:t xml:space="preserve"> </w:t>
      </w:r>
      <w:r>
        <w:t xml:space="preserve">Quantifying any CO2 removed from the atmosphere, for example, through sustainably sourced bio-based materials acting as carbon sinks, or direct air capture technologies if integrated into the supply chain.</w:t>
      </w:r>
    </w:p>
    <w:p>
      <w:pPr>
        <w:pStyle w:val="FirstParagraph"/>
      </w:pPr>
      <w:r>
        <w:t xml:space="preserve">For this report, without specific data, the net impact from land use change and removals is assumed to be incorporated into the generic emission factors used for materials, but a dedicated breakdown would be required for full LSR compliance in future iterations.</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w:t>
      </w:r>
      <w:r>
        <w:t xml:space="preserve"> </w:t>
      </w:r>
      <w:r>
        <w:t xml:space="preserve">uxuwwukemn</w:t>
      </w:r>
      <w:r>
        <w:t xml:space="preserve">:</w:t>
      </w:r>
    </w:p>
    <w:p>
      <w:pPr>
        <w:numPr>
          <w:ilvl w:val="0"/>
          <w:numId w:val="1016"/>
        </w:numPr>
        <w:pStyle w:val="Compact"/>
      </w:pPr>
      <w:r>
        <w:rPr>
          <w:bCs/>
          <w:b/>
        </w:rPr>
        <w:t xml:space="preserve">Use of Sold Products (Category 11):</w:t>
      </w:r>
      <w:r>
        <w:t xml:space="preserve"> </w:t>
      </w:r>
      <w:r>
        <w:t xml:space="preserve">40.64%</w:t>
      </w:r>
      <w:r>
        <w:t xml:space="preserve"> </w:t>
      </w:r>
      <w:r>
        <w:t xml:space="preserve">of the total footprint. This is the largest contributor, driven by the product\'s energy consumption over its</w:t>
      </w:r>
      <w:r>
        <w:t xml:space="preserve"> </w:t>
      </w:r>
      <w:r>
        <w:t xml:space="preserve">5-year illustrative lifespan</w:t>
      </w:r>
      <w:r>
        <w:t xml:space="preserve">.</w:t>
      </w:r>
    </w:p>
    <w:p>
      <w:pPr>
        <w:numPr>
          <w:ilvl w:val="0"/>
          <w:numId w:val="1016"/>
        </w:numPr>
        <w:pStyle w:val="Compact"/>
      </w:pPr>
      <w:r>
        <w:rPr>
          <w:bCs/>
          <w:b/>
        </w:rPr>
        <w:t xml:space="preserve">Purchased Goods and Services (Category 1):</w:t>
      </w:r>
      <w:r>
        <w:t xml:space="preserve"> </w:t>
      </w:r>
      <w:r>
        <w:t xml:space="preserve">31.57%</w:t>
      </w:r>
      <w:r>
        <w:t xml:space="preserve">. Raw material extraction and processing, particularly for energy-intensive materials like aluminum and batteries, contribute significantly.</w:t>
      </w:r>
    </w:p>
    <w:p>
      <w:pPr>
        <w:numPr>
          <w:ilvl w:val="0"/>
          <w:numId w:val="1016"/>
        </w:numPr>
        <w:pStyle w:val="Compact"/>
      </w:pPr>
      <w:r>
        <w:rPr>
          <w:bCs/>
          <w:b/>
        </w:rPr>
        <w:t xml:space="preserve">Purchased Electricity (Scope 2):</w:t>
      </w:r>
      <w:r>
        <w:t xml:space="preserve"> </w:t>
      </w:r>
      <w:r>
        <w:t xml:space="preserve">15.86%</w:t>
      </w:r>
      <w:r>
        <w:t xml:space="preserve">. Despite</w:t>
      </w:r>
      <w:r>
        <w:t xml:space="preserve"> </w:t>
      </w:r>
      <w:r>
        <w:t xml:space="preserve">50% renewable energy usage</w:t>
      </w:r>
      <w:r>
        <w:t xml:space="preserve">, the remaining grid electricity in China (with a higher carbon intensity) still represents a notable portion.</w:t>
      </w:r>
    </w:p>
    <w:bookmarkEnd w:id="46"/>
    <w:bookmarkStart w:id="47" w:name="reliability-and-limitations"/>
    <w:p>
      <w:pPr>
        <w:pStyle w:val="Heading3"/>
      </w:pPr>
      <w:r>
        <w:t xml:space="preserve">5.2 Reliability and Limitations</w:t>
      </w:r>
    </w:p>
    <w:p>
      <w:pPr>
        <w:pStyle w:val="FirstParagraph"/>
      </w:pPr>
      <w:r>
        <w:t xml:space="preserve">The reliability of this PCF report is directly linked to the quality and specificity of the input data.</w:t>
      </w:r>
    </w:p>
    <w:p>
      <w:pPr>
        <w:numPr>
          <w:ilvl w:val="0"/>
          <w:numId w:val="1017"/>
        </w:numPr>
        <w:pStyle w:val="Compact"/>
      </w:pPr>
      <w:r>
        <w:rPr>
          <w:bCs/>
          <w:b/>
        </w:rPr>
        <w:t xml:space="preserve">Data Specificity:</w:t>
      </w:r>
      <w:r>
        <w:t xml:space="preserve"> </w:t>
      </w:r>
      <w:r>
        <w:t xml:space="preserve">This report utilizes a combination of provided parameters and illustrative industry average emission factors where specific data (e.g., detailed BOM values for</w:t>
      </w:r>
      <w:r>
        <w:t xml:space="preserve"> </w:t>
      </w:r>
      <w:r>
        <w:t xml:space="preserve">fdtnpqtf</w:t>
      </w:r>
      <w:r>
        <w:t xml:space="preserve">, precise transport distances/modes, exact energy mix) was a placeholder. The use of actual, primary data from</w:t>
      </w:r>
      <w:r>
        <w:t xml:space="preserve"> </w:t>
      </w:r>
      <w:r>
        <w:t xml:space="preserve">xpxfisguwl</w:t>
      </w:r>
      <w:r>
        <w:t xml:space="preserve">\'s operations and specific suppliers would significantly enhance accuracy.</w:t>
      </w:r>
    </w:p>
    <w:p>
      <w:pPr>
        <w:numPr>
          <w:ilvl w:val="0"/>
          <w:numId w:val="1017"/>
        </w:numPr>
        <w:pStyle w:val="Compact"/>
      </w:pPr>
      <w:r>
        <w:rPr>
          <w:bCs/>
          <w:b/>
        </w:rPr>
        <w:t xml:space="preserve">System Boundary:</w:t>
      </w:r>
      <w:r>
        <w:t xml:space="preserve"> </w:t>
      </w:r>
      <w:r>
        <w:t xml:space="preserve">The</w:t>
      </w:r>
      <w:r>
        <w:t xml:space="preserve"> </w:t>
      </w:r>
      <w:r>
        <w:t xml:space="preserve">factory_gate</w:t>
      </w:r>
      <w:r>
        <w:t xml:space="preserve"> </w:t>
      </w:r>
      <w:r>
        <w:t xml:space="preserve">boundary for direct impact is supplemented by comprehensive Scope 3 categories, providing a broad lifecycle view.</w:t>
      </w:r>
    </w:p>
    <w:p>
      <w:pPr>
        <w:numPr>
          <w:ilvl w:val="0"/>
          <w:numId w:val="1017"/>
        </w:numPr>
        <w:pStyle w:val="Compact"/>
      </w:pPr>
      <w:r>
        <w:rPr>
          <w:bCs/>
          <w:b/>
        </w:rPr>
        <w:t xml:space="preserve">GHG Protocol Adherence:</w:t>
      </w:r>
      <w:r>
        <w:t xml:space="preserve"> </w:t>
      </w:r>
      <w:r>
        <w:t xml:space="preserve">The report structure and categorization strictly adhere to the GHG Protocol. The</w:t>
      </w:r>
      <w:r>
        <w:t xml:space="preserve"> </w:t>
      </w:r>
      <w:r>
        <w:t xml:space="preserve">95% Scope 3 coverage</w:t>
      </w:r>
      <w:r>
        <w:t xml:space="preserve"> </w:t>
      </w:r>
      <w:r>
        <w:t xml:space="preserve">target is met through detailed consideration of upstream and downstream activities, and the</w:t>
      </w:r>
      <w:r>
        <w:t xml:space="preserve"> </w:t>
      </w:r>
      <w:r>
        <w:t xml:space="preserve">2026 LSR update</w:t>
      </w:r>
      <w:r>
        <w:t xml:space="preserve"> </w:t>
      </w:r>
      <w:r>
        <w:t xml:space="preserve">has been qualitatively addressed.</w:t>
      </w:r>
    </w:p>
    <w:bookmarkEnd w:id="47"/>
    <w:bookmarkStart w:id="49"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t xml:space="preserve">xpxfisguwl</w:t>
      </w:r>
      <w:r>
        <w:t xml:space="preserve"> </w:t>
      </w:r>
      <w:r>
        <w:t xml:space="preserve">should consider the following strategies to reduce the PCF of</w:t>
      </w:r>
      <w:r>
        <w:t xml:space="preserve"> </w:t>
      </w:r>
      <w:r>
        <w:t xml:space="preserve">uxuwwukemn</w:t>
      </w:r>
      <w:r>
        <w:t xml:space="preserve">:</w:t>
      </w:r>
    </w:p>
    <w:p>
      <w:pPr>
        <w:numPr>
          <w:ilvl w:val="0"/>
          <w:numId w:val="1018"/>
        </w:numPr>
        <w:pStyle w:val="Compact"/>
      </w:pPr>
      <w:r>
        <w:rPr>
          <w:bCs/>
          <w:b/>
        </w:rPr>
        <w:t xml:space="preserve">Optimize Use Phase Efficiency:</w:t>
      </w:r>
      <w:r>
        <w:t xml:space="preserve"> </w:t>
      </w:r>
      <w:r>
        <w:t xml:space="preserve">Focus on engineering and design improvements to reduce the product\'s energy consumption during its operational lifespan. This could involve more energy-efficient components, power-saving modes, or longer product durability to avoid early replacement.</w:t>
      </w:r>
    </w:p>
    <w:p>
      <w:pPr>
        <w:numPr>
          <w:ilvl w:val="0"/>
          <w:numId w:val="1018"/>
        </w:numPr>
        <w:pStyle w:val="Compact"/>
      </w:pPr>
      <w:r>
        <w:rPr>
          <w:bCs/>
          <w:b/>
        </w:rPr>
        <w:t xml:space="preserve">Sustainable Material Sourcing:</w:t>
      </w:r>
      <w:r>
        <w:t xml:space="preserve"> </w:t>
      </w:r>
      <w:r>
        <w:t xml:space="preserve">Investigate opportunities to use lower-carbon alternative materials, materials with higher recycled content, or materials sourced from suppliers with lower embodied emissions. Engage with suppliers to collect primary data on material-specific emission factors.</w:t>
      </w:r>
    </w:p>
    <w:p>
      <w:pPr>
        <w:numPr>
          <w:ilvl w:val="0"/>
          <w:numId w:val="1018"/>
        </w:numPr>
        <w:pStyle w:val="Compact"/>
      </w:pPr>
      <w:r>
        <w:rPr>
          <w:bCs/>
          <w:b/>
        </w:rPr>
        <w:t xml:space="preserve">Increase Renewable Energy Procurement:</w:t>
      </w:r>
      <w:r>
        <w:t xml:space="preserve"> </w:t>
      </w:r>
      <w:r>
        <w:t xml:space="preserve">Further increase the percentage of renewable energy used in the manufacturing facility in China. This could involve direct renewable energy purchasing, on-site generation, or participation in renewable energy credits.</w:t>
      </w:r>
    </w:p>
    <w:p>
      <w:pPr>
        <w:numPr>
          <w:ilvl w:val="0"/>
          <w:numId w:val="1018"/>
        </w:numPr>
        <w:pStyle w:val="Compact"/>
      </w:pPr>
      <w:r>
        <w:rPr>
          <w:bCs/>
          <w:b/>
        </w:rPr>
        <w:t xml:space="preserve">Enhance Circularity:</w:t>
      </w:r>
      <w:r>
        <w:t xml:space="preserve"> </w:t>
      </w:r>
      <w:r>
        <w:t xml:space="preserve">Leverage the existing</w:t>
      </w:r>
      <w:r>
        <w:t xml:space="preserve"> </w:t>
      </w:r>
      <w:r>
        <w:t xml:space="preserve">Circular/Take-back Programs (ovkenrfgey)</w:t>
      </w:r>
      <w:r>
        <w:t xml:space="preserve"> </w:t>
      </w:r>
      <w:r>
        <w:t xml:space="preserve">to maximize the actual recycling rate beyond the</w:t>
      </w:r>
      <w:r>
        <w:t xml:space="preserve"> </w:t>
      </w:r>
      <w:r>
        <w:t xml:space="preserve">70% recyclability</w:t>
      </w:r>
      <w:r>
        <w:t xml:space="preserve">. Explore product-as-a-service models or closed-loop material cycles to further reduce end-of-life impacts and create greater avoided emissions.</w:t>
      </w:r>
    </w:p>
    <w:p>
      <w:pPr>
        <w:numPr>
          <w:ilvl w:val="0"/>
          <w:numId w:val="1018"/>
        </w:numPr>
        <w:pStyle w:val="Compact"/>
      </w:pPr>
      <w:r>
        <w:rPr>
          <w:bCs/>
          <w:b/>
        </w:rPr>
        <w:t xml:space="preserve">Logistics Optimization:</w:t>
      </w:r>
      <w:r>
        <w:t xml:space="preserve"> </w:t>
      </w:r>
      <w:r>
        <w:t xml:space="preserve">While transport is a smaller hotspot, optimizing shipping routes, consolidating shipments, and exploring lower-emission transport modes (e.g., rail over road where feasible) can contribute to overall reductions.</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uxuwwukemn</dc:title>
  <dc:creator/>
  <dc:description>Detailed Product Carbon Footprint (PCF) analysis report for product uxuwwukemn by xpxfisguwl, specializing in GHG Protocol compliance and sustainability.</dc:description>
  <dc:language>en</dc:language>
  <cp:keywords/>
  <dcterms:created xsi:type="dcterms:W3CDTF">2026-05-30T18:30:18Z</dcterms:created>
  <dcterms:modified xsi:type="dcterms:W3CDTF">2026-05-30T18:30:18Z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