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uxjewfkuxn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uxjewfkuxn</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viupmmfelz</w:t>
      </w:r>
    </w:p>
    <w:p>
      <w:pPr>
        <w:pStyle w:val="BodyText"/>
      </w:pPr>
      <w:r>
        <w:rPr>
          <w:bCs/>
          <w:b/>
        </w:rPr>
        <w:t xml:space="preserve">Senior Sustainability Consultant:</w:t>
      </w:r>
      <w:r>
        <w:t xml:space="preserve"> </w:t>
      </w:r>
      <w:r>
        <w:t xml:space="preserve">mufekwphiz</w:t>
      </w:r>
    </w:p>
    <w:p>
      <w:pPr>
        <w:pStyle w:val="BodyText"/>
      </w:pPr>
      <w:r>
        <w:t xml:space="preserve">This report is generated based on available data and industry standards, providing an assessment of the Product Carbon Footprint for uxjewfkuxn. All calculations and interpretations are illustrative and based on the provided parameters and assumed industry average emission factors where specific data was not available.</w:t>
      </w:r>
    </w:p>
    <w:bookmarkEnd w:id="20"/>
    <w:bookmarkStart w:id="60" w:name="Xffc448678919f867458315b702331fe24fc8b1a"/>
    <w:p>
      <w:pPr>
        <w:pStyle w:val="Heading1"/>
      </w:pPr>
      <w:r>
        <w:t xml:space="preserve">Product Carbon Footprint (PCF) Analysis Report for uxjewfkuxn</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"uxjewfkuxn," manufactured by "viupmmfelz." The analysis was conducted by "mufekwphiz," Senior Sustainability Consultant, specializing in GHG Protocol. It adheres to the GHG Protocol Corporate Accounting and Reporting Standard, with consideration for the latest 2026 Land Sector and Removals (LSR) Standard updates and a commitment to achieving at least 95% coverage for Scope 3 emissions. The total estimated cradle-to-gate-plus-use-and-end-of-life PCF for "uxjewfkuxn" is **[Calculated Total PCF] kg CO2e per 1.0 unit**. The most significant emission hotspots were identified in [Material Acquisition/Use Phase/Transport]. Recommendations are provided to guide "viupmmfelz" in reducing the environmental impact of "uxjewfkuxn."</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uxjewfkuxn</w:t>
      </w:r>
      <w:r>
        <w:t xml:space="preserve">.</w:t>
      </w:r>
    </w:p>
    <w:bookmarkEnd w:id="22"/>
    <w:bookmarkStart w:id="23" w:name="system-boundary"/>
    <w:p>
      <w:pPr>
        <w:pStyle w:val="Heading3"/>
      </w:pPr>
      <w:r>
        <w:t xml:space="preserve">System Boundary</w:t>
      </w:r>
    </w:p>
    <w:p>
      <w:pPr>
        <w:pStyle w:val="FirstParagraph"/>
      </w:pPr>
      <w:r>
        <w:t xml:space="preserve">The system boundary for this PCF analysis is defined as</w:t>
      </w:r>
      <w:r>
        <w:t xml:space="preserve"> </w:t>
      </w:r>
      <w:r>
        <w:rPr>
          <w:bCs/>
          <w:b/>
        </w:rPr>
        <w:t xml:space="preserve">"factory_gate,"</w:t>
      </w:r>
      <w:r>
        <w:t xml:space="preserve"> </w:t>
      </w:r>
      <w:r>
        <w:t xml:space="preserve">encompassing raw material acquisition, manufacturing (including components up to the factory gate), distribution to the customer, the product\'s use phase, and its end-of-life treatment. This "cradle-to-grave" approach provides a comprehensive view of the product\'s environmental impact.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 (Greenhouse Gas Protocol)</w:t>
      </w:r>
      <w:r>
        <w:t xml:space="preserve"> </w:t>
      </w:r>
      <w:r>
        <w:t xml:space="preserve">for corporate accounting and reporting, ensuring consistent and transparent emission quantification.</w:t>
      </w:r>
    </w:p>
    <w:bookmarkEnd w:id="25"/>
    <w:bookmarkStart w:id="26" w:name="allocation"/>
    <w:p>
      <w:pPr>
        <w:pStyle w:val="Heading3"/>
      </w:pPr>
      <w:r>
        <w:t xml:space="preserve">Allocation</w:t>
      </w:r>
    </w:p>
    <w:p>
      <w:pPr>
        <w:pStyle w:val="FirstParagraph"/>
      </w:pPr>
      <w:r>
        <w:t xml:space="preserve">Allocation of emissions for multi-output processes has been managed by focusing solely on the direct inputs and outputs related to the functional unit (1.0 unit of uxjewfkuxn). Where co-products or by-products are present, allocation is performed based on physical causality (e.g., mass-based), though for this single product PCF, direct attribution is largely applied.</w:t>
      </w:r>
    </w:p>
    <w:p>
      <w:r>
        <w:pict>
          <v:rect style="width:0;height:1.5pt" o:hralign="center" o:hrstd="t" o:hr="t"/>
        </w:pict>
      </w:r>
    </w:p>
    <w:bookmarkEnd w:id="26"/>
    <w:bookmarkEnd w:id="27"/>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The lifecycle mapping for "uxjewfkuxn" includes the following stages, with data collected from the provided parameters and industry-standard emission factors.</w:t>
      </w:r>
    </w:p>
    <w:bookmarkStart w:id="29" w:name="X4989c0d5dd50707089c56dcbc7d68e50fc024dc"/>
    <w:p>
      <w:pPr>
        <w:pStyle w:val="Heading3"/>
      </w:pPr>
      <w:r>
        <w:t xml:space="preserve">Detailed Bill of Materials (BOM) and Material Impacts (Scope 3, Category 1: Purchased Goods and Services)</w:t>
      </w:r>
    </w:p>
    <w:p>
      <w:pPr>
        <w:pStyle w:val="FirstParagraph"/>
      </w:pPr>
      <w:r>
        <w:t xml:space="preserve">The Detailed Bill of Materials (BOM) provides the foundational data for material acquisition and processing impacts. The provided "Total Carbon" values in the BOM string are directly used for calculating material-related emissions, representing cradle-to-gate impacts for each component.</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t xml:space="preserve">Subtotal Material Acquisition &amp; Processing:</w:t>
      </w:r>
    </w:p>
    <w:p>
      <w:pPr>
        <w:pStyle w:val="BodyText"/>
      </w:pPr>
      <w:bookmarkStart w:id="28" w:name="total_material_carbon"/>
      <w:bookmarkEnd w:id="28"/>
      <w:r>
        <w:t xml:space="preserve"> </w:t>
      </w:r>
      <w:r>
        <w:t xml:space="preserve">kgCO2e</w:t>
      </w:r>
    </w:p>
    <w:bookmarkEnd w:id="29"/>
    <w:bookmarkStart w:id="30" w:name="Xb874b862ade28d5264e50ccfc73b38430f41897"/>
    <w:p>
      <w:pPr>
        <w:pStyle w:val="Heading3"/>
      </w:pPr>
      <w:r>
        <w:t xml:space="preserve">Energy Inputs (Production Phase - Scope 2: Purchased Electricity)</w:t>
      </w:r>
    </w:p>
    <w:p>
      <w:pPr>
        <w:numPr>
          <w:ilvl w:val="0"/>
          <w:numId w:val="1002"/>
        </w:numPr>
        <w:pStyle w:val="Compact"/>
      </w:pPr>
      <w:r>
        <w:rPr>
          <w:bCs/>
          <w:b/>
        </w:rPr>
        <w:t xml:space="preserve">Energy Intensity (kWh/unit):</w:t>
      </w:r>
      <w:r>
        <w:t xml:space="preserve"> </w:t>
      </w:r>
      <w:r>
        <w:t xml:space="preserve">vqgegrxpur (e.g., 10 kWh/unit)</w:t>
      </w:r>
    </w:p>
    <w:p>
      <w:pPr>
        <w:numPr>
          <w:ilvl w:val="0"/>
          <w:numId w:val="1002"/>
        </w:numPr>
        <w:pStyle w:val="Compact"/>
      </w:pPr>
      <w:r>
        <w:rPr>
          <w:bCs/>
          <w:b/>
        </w:rPr>
        <w:t xml:space="preserve">Renewable Energy Usage:</w:t>
      </w:r>
      <w:r>
        <w:t xml:space="preserve"> </w:t>
      </w:r>
      <w:r>
        <w:t xml:space="preserve">zwhnjsvisy (e.g., 50%)</w:t>
      </w:r>
    </w:p>
    <w:p>
      <w:pPr>
        <w:numPr>
          <w:ilvl w:val="0"/>
          <w:numId w:val="1002"/>
        </w:numPr>
        <w:pStyle w:val="Compact"/>
      </w:pPr>
      <w:r>
        <w:rPr>
          <w:bCs/>
          <w:b/>
        </w:rPr>
        <w:t xml:space="preserve">Grid Emission Factor (China):</w:t>
      </w:r>
      <w:r>
        <w:t xml:space="preserve"> </w:t>
      </w:r>
      <w:r>
        <w:t xml:space="preserve">0.6144 kg CO2e/kWh (estimated for 2025/2026)</w:t>
      </w:r>
    </w:p>
    <w:p>
      <w:pPr>
        <w:numPr>
          <w:ilvl w:val="0"/>
          <w:numId w:val="1002"/>
        </w:numPr>
        <w:pStyle w:val="Compact"/>
      </w:pPr>
      <w:r>
        <w:rPr>
          <w:bCs/>
          <w:b/>
        </w:rPr>
        <w:t xml:space="preserve">Non-renewable energy portion:</w:t>
      </w:r>
      <w:r>
        <w:t xml:space="preserve"> </w:t>
      </w:r>
      <w:r>
        <w:t xml:space="preserve">(1 - 0.50) = 0.50</w:t>
      </w:r>
    </w:p>
    <w:bookmarkEnd w:id="30"/>
    <w:bookmarkStart w:id="32" w:name="Xebaba21dcb61b3131cced443da34dfd9ed135eb"/>
    <w:p>
      <w:pPr>
        <w:pStyle w:val="Heading3"/>
      </w:pPr>
      <w:r>
        <w:t xml:space="preserve">Transport Inputs (Scope 3, Category 4: Upstream Transportation &amp; Distribution &amp; Category 9: Downstream Transportation &amp; Distribution)</w:t>
      </w:r>
    </w:p>
    <w:p>
      <w:pPr>
        <w:numPr>
          <w:ilvl w:val="0"/>
          <w:numId w:val="1003"/>
        </w:numPr>
        <w:pStyle w:val="Compact"/>
      </w:pPr>
      <w:r>
        <w:rPr>
          <w:bCs/>
          <w:b/>
        </w:rPr>
        <w:t xml:space="preserve">Total Product Mass for Transport:</w:t>
      </w:r>
      <w:r>
        <w:t xml:space="preserve"> </w:t>
      </w:r>
      <w:bookmarkStart w:id="31" w:name="product_mass_for_transport"/>
      <w:bookmarkEnd w:id="31"/>
      <w:r>
        <w:t xml:space="preserve"> </w:t>
      </w:r>
      <w:r>
        <w:t xml:space="preserve">kg (calculated from BOM and assumptions)</w:t>
      </w:r>
    </w:p>
    <w:p>
      <w:pPr>
        <w:numPr>
          <w:ilvl w:val="0"/>
          <w:numId w:val="1003"/>
        </w:numPr>
        <w:pStyle w:val="Compact"/>
      </w:pPr>
      <w:r>
        <w:rPr>
          <w:bCs/>
          <w:b/>
        </w:rPr>
        <w:t xml:space="preserve">Transport Mode:</w:t>
      </w:r>
      <w:r>
        <w:t xml:space="preserve"> </w:t>
      </w:r>
      <w:r>
        <w:t xml:space="preserve">Select Mode (e.g., Sea Freight, Truck)</w:t>
      </w:r>
    </w:p>
    <w:p>
      <w:pPr>
        <w:numPr>
          <w:ilvl w:val="0"/>
          <w:numId w:val="1003"/>
        </w:numPr>
        <w:pStyle w:val="Compact"/>
      </w:pPr>
      <w:r>
        <w:rPr>
          <w:bCs/>
          <w:b/>
        </w:rPr>
        <w:t xml:space="preserve">Transport Distance:</w:t>
      </w:r>
      <w:r>
        <w:t xml:space="preserve"> </w:t>
      </w:r>
      <w:r>
        <w:t xml:space="preserve">llrdglxfus (e.g., 18000 km Sea Freight, 2000 km Truck Freight)</w:t>
      </w:r>
    </w:p>
    <w:p>
      <w:pPr>
        <w:numPr>
          <w:ilvl w:val="0"/>
          <w:numId w:val="1003"/>
        </w:numPr>
        <w:pStyle w:val="Compact"/>
      </w:pPr>
      <w:r>
        <w:rPr>
          <w:bCs/>
          <w:b/>
        </w:rPr>
        <w:t xml:space="preserve">Last-Mile Delivery Channel:</w:t>
      </w:r>
      <w:r>
        <w:t xml:space="preserve"> </w:t>
      </w:r>
      <w:r>
        <w:t xml:space="preserve">Delivery Type (e.g., Standard Van Delivery, 100 km)</w:t>
      </w:r>
    </w:p>
    <w:p>
      <w:pPr>
        <w:numPr>
          <w:ilvl w:val="0"/>
          <w:numId w:val="1003"/>
        </w:numPr>
        <w:pStyle w:val="Compact"/>
      </w:pPr>
      <w:r>
        <w:rPr>
          <w:bCs/>
          <w:b/>
        </w:rPr>
        <w:t xml:space="preserve">Emission Factor - Sea Freight (average):</w:t>
      </w:r>
      <w:r>
        <w:t xml:space="preserve"> </w:t>
      </w:r>
      <w:r>
        <w:t xml:space="preserve">0.01 kg CO2e/tkm (ton-kilometer)</w:t>
      </w:r>
    </w:p>
    <w:p>
      <w:pPr>
        <w:numPr>
          <w:ilvl w:val="0"/>
          <w:numId w:val="1003"/>
        </w:numPr>
        <w:pStyle w:val="Compact"/>
      </w:pPr>
      <w:r>
        <w:rPr>
          <w:bCs/>
          <w:b/>
        </w:rPr>
        <w:t xml:space="preserve">Emission Factor - Truck Freight (long haul):</w:t>
      </w:r>
      <w:r>
        <w:t xml:space="preserve"> </w:t>
      </w:r>
      <w:r>
        <w:t xml:space="preserve">0.1 kg CO2e/tkm</w:t>
      </w:r>
    </w:p>
    <w:p>
      <w:pPr>
        <w:numPr>
          <w:ilvl w:val="0"/>
          <w:numId w:val="1003"/>
        </w:numPr>
        <w:pStyle w:val="Compact"/>
      </w:pPr>
      <w:r>
        <w:rPr>
          <w:bCs/>
          <w:b/>
        </w:rPr>
        <w:t xml:space="preserve">Emission Factor - Last-Mile Van Delivery (allocated):</w:t>
      </w:r>
      <w:r>
        <w:t xml:space="preserve"> </w:t>
      </w:r>
      <w:r>
        <w:t xml:space="preserve">0.25 kg CO2e/km (vehicle emission). For allocation, assuming 1kg product and an average van payload of 500kg (0.5t), the effective factor for the product becomes 0.25 kgCO2e/km * (1kg / 500kg) = 0.0005 kgCO2e/km for the product. Or more consistently, 0.5 kgCO2e/tkm as derived in thought process. Let\'s use 0.5 kgCO2e/tkm for the product\'s share of van transport.</w:t>
      </w:r>
    </w:p>
    <w:bookmarkEnd w:id="32"/>
    <w:bookmarkStart w:id="33" w:name="Xc10bf15d15e3256643ef594037d4b05bd784051"/>
    <w:p>
      <w:pPr>
        <w:pStyle w:val="Heading3"/>
      </w:pPr>
      <w:r>
        <w:t xml:space="preserve">Use Phase Inputs (Scope 3, Category 11: Use of Sold Products)</w:t>
      </w:r>
    </w:p>
    <w:p>
      <w:pPr>
        <w:numPr>
          <w:ilvl w:val="0"/>
          <w:numId w:val="1004"/>
        </w:numPr>
        <w:pStyle w:val="Compact"/>
      </w:pPr>
      <w:r>
        <w:rPr>
          <w:bCs/>
          <w:b/>
        </w:rPr>
        <w:t xml:space="preserve">Product Lifespan:</w:t>
      </w:r>
      <w:r>
        <w:t xml:space="preserve"> </w:t>
      </w:r>
      <w:r>
        <w:t xml:space="preserve">opmqulhros (e.g., 5 years)</w:t>
      </w:r>
    </w:p>
    <w:p>
      <w:pPr>
        <w:numPr>
          <w:ilvl w:val="0"/>
          <w:numId w:val="1004"/>
        </w:numPr>
        <w:pStyle w:val="Compact"/>
      </w:pPr>
      <w:r>
        <w:rPr>
          <w:bCs/>
          <w:b/>
        </w:rPr>
        <w:t xml:space="preserve">Energy Consumption in Use:</w:t>
      </w:r>
      <w:r>
        <w:t xml:space="preserve"> </w:t>
      </w:r>
      <w:r>
        <w:t xml:space="preserve">fqgrsngjjh (e.g., 20 kWh/year)</w:t>
      </w:r>
    </w:p>
    <w:p>
      <w:pPr>
        <w:numPr>
          <w:ilvl w:val="0"/>
          <w:numId w:val="1004"/>
        </w:numPr>
        <w:pStyle w:val="Compact"/>
      </w:pPr>
      <w:r>
        <w:rPr>
          <w:bCs/>
          <w:b/>
        </w:rPr>
        <w:t xml:space="preserve">Electricity Grid Emission Factor (China):</w:t>
      </w:r>
      <w:r>
        <w:t xml:space="preserve"> </w:t>
      </w:r>
      <w:r>
        <w:t xml:space="preserve">0.6144 kg CO2e/kWh</w:t>
      </w:r>
    </w:p>
    <w:bookmarkEnd w:id="33"/>
    <w:bookmarkStart w:id="34" w:name="X22f9dae0edae5a4ebf0dcf5b8ca74de2c6ea5a4"/>
    <w:p>
      <w:pPr>
        <w:pStyle w:val="Heading3"/>
      </w:pPr>
      <w:r>
        <w:t xml:space="preserve">End-of-Life (EoL) Scenarios (Scope 3, Category 12: End-of-Life Treatment of Sold Products)</w:t>
      </w:r>
    </w:p>
    <w:p>
      <w:pPr>
        <w:numPr>
          <w:ilvl w:val="0"/>
          <w:numId w:val="1005"/>
        </w:numPr>
        <w:pStyle w:val="Compact"/>
      </w:pPr>
      <w:r>
        <w:rPr>
          <w:bCs/>
          <w:b/>
        </w:rPr>
        <w:t xml:space="preserve">Recyclability Percentage:</w:t>
      </w:r>
      <w:r>
        <w:t xml:space="preserve"> </w:t>
      </w:r>
      <w:r>
        <w:t xml:space="preserve">yikspjhzmu (e.g., 70%)</w:t>
      </w:r>
    </w:p>
    <w:p>
      <w:pPr>
        <w:numPr>
          <w:ilvl w:val="0"/>
          <w:numId w:val="1005"/>
        </w:numPr>
        <w:pStyle w:val="Compact"/>
      </w:pPr>
      <w:r>
        <w:rPr>
          <w:bCs/>
          <w:b/>
        </w:rPr>
        <w:t xml:space="preserve">Circular/Take-back Programs:</w:t>
      </w:r>
      <w:r>
        <w:t xml:space="preserve"> </w:t>
      </w:r>
      <w:r>
        <w:t xml:space="preserve">xzkmngsheu (e.g., Product Take-back Program in place for key components)</w:t>
      </w:r>
    </w:p>
    <w:p>
      <w:pPr>
        <w:numPr>
          <w:ilvl w:val="0"/>
          <w:numId w:val="1005"/>
        </w:numPr>
        <w:pStyle w:val="Compact"/>
      </w:pPr>
      <w:r>
        <w:rPr>
          <w:bCs/>
          <w:b/>
        </w:rPr>
        <w:t xml:space="preserve">Recycling Credit Assumption:</w:t>
      </w:r>
      <w:r>
        <w:t xml:space="preserve"> </w:t>
      </w:r>
      <w:r>
        <w:t xml:space="preserve">A conservative 50% avoided burden on the material acquisition emissions for the recyclable portion.</w:t>
      </w:r>
    </w:p>
    <w:p>
      <w:r>
        <w:pict>
          <v:rect style="width:0;height:1.5pt" o:hralign="center" o:hrstd="t" o:hr="t"/>
        </w:pict>
      </w:r>
    </w:p>
    <w:bookmarkEnd w:id="34"/>
    <w:bookmarkEnd w:id="35"/>
    <w:bookmarkStart w:id="51" w:name="calculate-emissions"/>
    <w:p>
      <w:pPr>
        <w:pStyle w:val="Heading2"/>
      </w:pPr>
      <w:r>
        <w:t xml:space="preserve">4. Calculate Emissions</w:t>
      </w:r>
    </w:p>
    <w:p>
      <w:pPr>
        <w:pStyle w:val="FirstParagraph"/>
      </w:pPr>
      <w:r>
        <w:t xml:space="preserve">Emissions are categorized and calculated as per the GHG Protocol, including Scope 1, Scope 2, and Scope 3. The 2026 Land Sector and Removals (LSR) Standard is acknowledged, and efforts for 95% Scope 3 coverage are integrated.</w:t>
      </w:r>
    </w:p>
    <w:bookmarkStart w:id="36" w:name="X72d6c087c23745ce1b5c4e7ec4231ba8030d6a4"/>
    <w:p>
      <w:pPr>
        <w:pStyle w:val="Heading3"/>
      </w:pPr>
      <w:r>
        <w:t xml:space="preserve">Scope 1 &amp; 2 Emissions (Direct &amp; Energy Indirect)</w:t>
      </w:r>
    </w:p>
    <w:p>
      <w:pPr>
        <w:pStyle w:val="FirstParagraph"/>
      </w:pPr>
      <w:r>
        <w:t xml:space="preserve">For "viupmmfelz", Scope 1 emissions (direct GHG emissions from owned or controlled sources) are assumed to be negligible for the product manufacturing process within the "factory_gate" boundary if all energy is purchased. Purchased electricity constitutes Scope 2 emissions.</w:t>
      </w:r>
    </w:p>
    <w:p>
      <w:pPr>
        <w:numPr>
          <w:ilvl w:val="0"/>
          <w:numId w:val="1006"/>
        </w:numPr>
        <w:pStyle w:val="Compact"/>
      </w:pPr>
      <w:r>
        <w:rPr>
          <w:bCs/>
          <w:b/>
        </w:rPr>
        <w:t xml:space="preserve">Production Energy (Scope 2):</w:t>
      </w:r>
    </w:p>
    <w:p>
      <w:pPr>
        <w:numPr>
          <w:ilvl w:val="0"/>
          <w:numId w:val="1006"/>
        </w:numPr>
        <w:pStyle w:val="Compact"/>
      </w:pPr>
      <w:r>
        <w:t xml:space="preserve">Energy Intensity: 10 kWh/unit (vqgegrxpur)</w:t>
      </w:r>
    </w:p>
    <w:p>
      <w:pPr>
        <w:numPr>
          <w:ilvl w:val="0"/>
          <w:numId w:val="1006"/>
        </w:numPr>
        <w:pStyle w:val="Compact"/>
      </w:pPr>
      <w:r>
        <w:t xml:space="preserve">Renewable Energy Usage: 50% (zwhnjsvisy)</w:t>
      </w:r>
    </w:p>
    <w:p>
      <w:pPr>
        <w:numPr>
          <w:ilvl w:val="0"/>
          <w:numId w:val="1006"/>
        </w:numPr>
        <w:pStyle w:val="Compact"/>
      </w:pPr>
      <w:r>
        <w:t xml:space="preserve">Non-renewable energy: 10 kWh/unit * (1 - 0.50) = 5 kWh/unit</w:t>
      </w:r>
    </w:p>
    <w:p>
      <w:pPr>
        <w:numPr>
          <w:ilvl w:val="0"/>
          <w:numId w:val="1006"/>
        </w:numPr>
        <w:pStyle w:val="Compact"/>
      </w:pPr>
      <w:r>
        <w:t xml:space="preserve">Emission Factor (China Grid): 0.6144 kg CO2e/kWh</w:t>
      </w:r>
    </w:p>
    <w:p>
      <w:pPr>
        <w:numPr>
          <w:ilvl w:val="0"/>
          <w:numId w:val="1006"/>
        </w:numPr>
        <w:pStyle w:val="Compact"/>
      </w:pPr>
      <w:r>
        <w:rPr>
          <w:bCs/>
          <w:b/>
        </w:rPr>
        <w:t xml:space="preserve">Calculated Production Energy Emissions:</w:t>
      </w:r>
      <w:r>
        <w:t xml:space="preserve"> </w:t>
      </w:r>
      <w:r>
        <w:t xml:space="preserve">5 kWh/unit * 0.6144 kg CO2e/kWh =</w:t>
      </w:r>
      <w:r>
        <w:t xml:space="preserve"> </w:t>
      </w:r>
      <w:r>
        <w:rPr>
          <w:bCs/>
          <w:b/>
        </w:rPr>
        <w:t xml:space="preserve">3.072 kg CO2e</w:t>
      </w:r>
    </w:p>
    <w:p>
      <w:pPr>
        <w:pStyle w:val="FirstParagraph"/>
      </w:pPr>
      <w:r>
        <w:br/>
      </w:r>
    </w:p>
    <w:bookmarkEnd w:id="36"/>
    <w:bookmarkStart w:id="49" w:name="scope-3-emissions-value-chain-emissions"/>
    <w:p>
      <w:pPr>
        <w:pStyle w:val="Heading3"/>
      </w:pPr>
      <w:r>
        <w:t xml:space="preserve">Scope 3 Emissions (Value Chain Emissions)</w:t>
      </w:r>
    </w:p>
    <w:p>
      <w:pPr>
        <w:pStyle w:val="FirstParagraph"/>
      </w:pPr>
      <w:r>
        <w:t xml:space="preserve">Scope 3 emissions are typically the largest portion of a product\'s carbon footprint and are categorized as follows:</w:t>
      </w:r>
    </w:p>
    <w:bookmarkStart w:id="38" w:name="X62c1d12d3336ed4c24b6016fcd5cad3f8e97b1c"/>
    <w:p>
      <w:pPr>
        <w:pStyle w:val="Heading4"/>
      </w:pPr>
      <w:r>
        <w:t xml:space="preserve">Category 1: Purchased Goods and Services (Material Acquisition &amp; Processing)</w:t>
      </w:r>
    </w:p>
    <w:p>
      <w:pPr>
        <w:numPr>
          <w:ilvl w:val="0"/>
          <w:numId w:val="1007"/>
        </w:numPr>
        <w:pStyle w:val="Compact"/>
      </w:pPr>
      <w:r>
        <w:rPr>
          <w:bCs/>
          <w:b/>
        </w:rPr>
        <w:t xml:space="preserve">Total Material Carbon from BOM:</w:t>
      </w:r>
      <w:r>
        <w:t xml:space="preserve"> </w:t>
      </w:r>
      <w:bookmarkStart w:id="37" w:name="calculated_material_carbon"/>
      <w:bookmarkEnd w:id="37"/>
      <w:r>
        <w:t xml:space="preserve"> </w:t>
      </w:r>
      <w:r>
        <w:t xml:space="preserve">kg CO2e</w:t>
      </w:r>
    </w:p>
    <w:p>
      <w:pPr>
        <w:numPr>
          <w:ilvl w:val="0"/>
          <w:numId w:val="1007"/>
        </w:numPr>
        <w:pStyle w:val="Compact"/>
      </w:pPr>
      <w:r>
        <w:t xml:space="preserve">This represents the emissions from the extraction, production, and manufacturing of raw materials and components up to the factory gate, as detailed in the BOM.</w:t>
      </w:r>
    </w:p>
    <w:bookmarkEnd w:id="38"/>
    <w:bookmarkStart w:id="44" w:name="Xe89e0a56fad43ffa0ef954ec8eb4af10b66d99f"/>
    <w:p>
      <w:pPr>
        <w:pStyle w:val="Heading4"/>
      </w:pPr>
      <w:r>
        <w:t xml:space="preserve">Category 4 &amp; 9: Transportation and Distribution (Upstream &amp; Downstream)</w:t>
      </w:r>
    </w:p>
    <w:p>
      <w:pPr>
        <w:numPr>
          <w:ilvl w:val="0"/>
          <w:numId w:val="1008"/>
        </w:numPr>
        <w:pStyle w:val="Compact"/>
      </w:pPr>
      <w:r>
        <w:rPr>
          <w:bCs/>
          <w:b/>
        </w:rPr>
        <w:t xml:space="preserve">Total Product Mass for Transport:</w:t>
      </w:r>
      <w:r>
        <w:t xml:space="preserve"> </w:t>
      </w:r>
      <w:bookmarkStart w:id="39" w:name="calculated_product_mass"/>
      <w:bookmarkEnd w:id="39"/>
      <w:r>
        <w:t xml:space="preserve"> </w:t>
      </w:r>
      <w:r>
        <w:t xml:space="preserve">kg</w:t>
      </w:r>
    </w:p>
    <w:p>
      <w:pPr>
        <w:numPr>
          <w:ilvl w:val="0"/>
          <w:numId w:val="1008"/>
        </w:numPr>
        <w:pStyle w:val="Compact"/>
      </w:pPr>
      <w:r>
        <w:rPr>
          <w:bCs/>
          <w:b/>
        </w:rPr>
        <w:t xml:space="preserve">Sea Freight (China to Europe):</w:t>
      </w:r>
    </w:p>
    <w:p>
      <w:pPr>
        <w:numPr>
          <w:ilvl w:val="0"/>
          <w:numId w:val="1008"/>
        </w:numPr>
        <w:pStyle w:val="Compact"/>
      </w:pPr>
    </w:p>
    <w:p>
      <w:pPr>
        <w:numPr>
          <w:ilvl w:val="1"/>
          <w:numId w:val="1009"/>
        </w:numPr>
        <w:pStyle w:val="Compact"/>
      </w:pPr>
      <w:r>
        <w:t xml:space="preserve">Distance: 18000 km</w:t>
      </w:r>
    </w:p>
    <w:p>
      <w:pPr>
        <w:numPr>
          <w:ilvl w:val="1"/>
          <w:numId w:val="1009"/>
        </w:numPr>
        <w:pStyle w:val="Compact"/>
      </w:pPr>
      <w:r>
        <w:t xml:space="preserve">Emission Factor: 0.01 kg CO2e/tkm</w:t>
      </w:r>
    </w:p>
    <w:p>
      <w:pPr>
        <w:numPr>
          <w:ilvl w:val="1"/>
          <w:numId w:val="1009"/>
        </w:numPr>
        <w:pStyle w:val="Compact"/>
      </w:pPr>
      <w:r>
        <w:t xml:space="preserve">Calculated Emissions:</w:t>
      </w:r>
      <w:r>
        <w:t xml:space="preserve"> </w:t>
      </w:r>
      <w:bookmarkStart w:id="40" w:name="sea_freight_emissions"/>
      <w:bookmarkEnd w:id="40"/>
      <w:r>
        <w:t xml:space="preserve"> </w:t>
      </w:r>
      <w:r>
        <w:t xml:space="preserve">kg CO2e</w:t>
      </w:r>
    </w:p>
    <w:p>
      <w:pPr>
        <w:numPr>
          <w:ilvl w:val="0"/>
          <w:numId w:val="1008"/>
        </w:numPr>
        <w:pStyle w:val="Compact"/>
      </w:pPr>
      <w:r>
        <w:rPr>
          <w:bCs/>
          <w:b/>
        </w:rPr>
        <w:t xml:space="preserve">Truck Freight (Port to Regional Hub in Europe):</w:t>
      </w:r>
    </w:p>
    <w:p>
      <w:pPr>
        <w:numPr>
          <w:ilvl w:val="0"/>
          <w:numId w:val="1008"/>
        </w:numPr>
        <w:pStyle w:val="Compact"/>
      </w:pPr>
    </w:p>
    <w:p>
      <w:pPr>
        <w:numPr>
          <w:ilvl w:val="1"/>
          <w:numId w:val="1010"/>
        </w:numPr>
        <w:pStyle w:val="Compact"/>
      </w:pPr>
      <w:r>
        <w:t xml:space="preserve">Distance: 2000 km</w:t>
      </w:r>
    </w:p>
    <w:p>
      <w:pPr>
        <w:numPr>
          <w:ilvl w:val="1"/>
          <w:numId w:val="1010"/>
        </w:numPr>
        <w:pStyle w:val="Compact"/>
      </w:pPr>
      <w:r>
        <w:t xml:space="preserve">Emission Factor: 0.1 kg CO2e/tkm</w:t>
      </w:r>
    </w:p>
    <w:p>
      <w:pPr>
        <w:numPr>
          <w:ilvl w:val="1"/>
          <w:numId w:val="1010"/>
        </w:numPr>
        <w:pStyle w:val="Compact"/>
      </w:pPr>
      <w:r>
        <w:t xml:space="preserve">Calculated Emissions:</w:t>
      </w:r>
      <w:r>
        <w:t xml:space="preserve"> </w:t>
      </w:r>
      <w:bookmarkStart w:id="41" w:name="truck_freight_emissions"/>
      <w:bookmarkEnd w:id="41"/>
      <w:r>
        <w:t xml:space="preserve"> </w:t>
      </w:r>
      <w:r>
        <w:t xml:space="preserve">kg CO2e</w:t>
      </w:r>
    </w:p>
    <w:p>
      <w:pPr>
        <w:numPr>
          <w:ilvl w:val="0"/>
          <w:numId w:val="1008"/>
        </w:numPr>
        <w:pStyle w:val="Compact"/>
      </w:pPr>
      <w:r>
        <w:rPr>
          <w:bCs/>
          <w:b/>
        </w:rPr>
        <w:t xml:space="preserve">Last-Mile Delivery (Standard Van Delivery):</w:t>
      </w:r>
    </w:p>
    <w:p>
      <w:pPr>
        <w:numPr>
          <w:ilvl w:val="0"/>
          <w:numId w:val="1008"/>
        </w:numPr>
        <w:pStyle w:val="Compact"/>
      </w:pPr>
    </w:p>
    <w:p>
      <w:pPr>
        <w:numPr>
          <w:ilvl w:val="1"/>
          <w:numId w:val="1011"/>
        </w:numPr>
        <w:pStyle w:val="Compact"/>
      </w:pPr>
      <w:r>
        <w:t xml:space="preserve">Distance: 100 km</w:t>
      </w:r>
    </w:p>
    <w:p>
      <w:pPr>
        <w:numPr>
          <w:ilvl w:val="1"/>
          <w:numId w:val="1011"/>
        </w:numPr>
        <w:pStyle w:val="Compact"/>
      </w:pPr>
      <w:r>
        <w:t xml:space="preserve">Product-allocated Emission Factor: 0.5 kg CO2e/tkm (assuming 1kg product with allocation)</w:t>
      </w:r>
    </w:p>
    <w:p>
      <w:pPr>
        <w:numPr>
          <w:ilvl w:val="1"/>
          <w:numId w:val="1011"/>
        </w:numPr>
        <w:pStyle w:val="Compact"/>
      </w:pPr>
      <w:r>
        <w:t xml:space="preserve">Calculated Emissions:</w:t>
      </w:r>
      <w:r>
        <w:t xml:space="preserve"> </w:t>
      </w:r>
      <w:bookmarkStart w:id="42" w:name="last_mile_emissions"/>
      <w:bookmarkEnd w:id="42"/>
      <w:r>
        <w:t xml:space="preserve"> </w:t>
      </w:r>
      <w:r>
        <w:t xml:space="preserve">kg CO2e</w:t>
      </w:r>
    </w:p>
    <w:p>
      <w:pPr>
        <w:numPr>
          <w:ilvl w:val="0"/>
          <w:numId w:val="1008"/>
        </w:numPr>
        <w:pStyle w:val="Compact"/>
      </w:pPr>
      <w:r>
        <w:rPr>
          <w:bCs/>
          <w:b/>
        </w:rPr>
        <w:t xml:space="preserve">Total Transport Emissions:</w:t>
      </w:r>
      <w:r>
        <w:t xml:space="preserve"> </w:t>
      </w:r>
      <w:bookmarkStart w:id="43" w:name="total_transport_emissions"/>
      <w:bookmarkEnd w:id="43"/>
      <w:r>
        <w:t xml:space="preserve"> </w:t>
      </w:r>
      <w:r>
        <w:t xml:space="preserve">kg CO2e</w:t>
      </w:r>
    </w:p>
    <w:bookmarkEnd w:id="44"/>
    <w:bookmarkStart w:id="45" w:name="category-11-use-of-sold-products"/>
    <w:p>
      <w:pPr>
        <w:pStyle w:val="Heading4"/>
      </w:pPr>
      <w:r>
        <w:t xml:space="preserve">Category 11: Use of Sold Products</w:t>
      </w:r>
    </w:p>
    <w:p>
      <w:pPr>
        <w:numPr>
          <w:ilvl w:val="0"/>
          <w:numId w:val="1012"/>
        </w:numPr>
        <w:pStyle w:val="Compact"/>
      </w:pPr>
      <w:r>
        <w:rPr>
          <w:bCs/>
          <w:b/>
        </w:rPr>
        <w:t xml:space="preserve">Product Lifespan:</w:t>
      </w:r>
      <w:r>
        <w:t xml:space="preserve"> </w:t>
      </w:r>
      <w:r>
        <w:t xml:space="preserve">5 years (opmqulhros)</w:t>
      </w:r>
    </w:p>
    <w:p>
      <w:pPr>
        <w:numPr>
          <w:ilvl w:val="0"/>
          <w:numId w:val="1012"/>
        </w:numPr>
        <w:pStyle w:val="Compact"/>
      </w:pPr>
      <w:r>
        <w:rPr>
          <w:bCs/>
          <w:b/>
        </w:rPr>
        <w:t xml:space="preserve">Energy Consumption in Use:</w:t>
      </w:r>
      <w:r>
        <w:t xml:space="preserve"> </w:t>
      </w:r>
      <w:r>
        <w:t xml:space="preserve">20 kWh/year (fqgrsngjjh)</w:t>
      </w:r>
    </w:p>
    <w:p>
      <w:pPr>
        <w:numPr>
          <w:ilvl w:val="0"/>
          <w:numId w:val="1012"/>
        </w:numPr>
        <w:pStyle w:val="Compact"/>
      </w:pPr>
      <w:r>
        <w:rPr>
          <w:bCs/>
          <w:b/>
        </w:rPr>
        <w:t xml:space="preserve">Total Energy Consumption:</w:t>
      </w:r>
      <w:r>
        <w:t xml:space="preserve"> </w:t>
      </w:r>
      <w:r>
        <w:t xml:space="preserve">5 years * 20 kWh/year = 100 kWh</w:t>
      </w:r>
    </w:p>
    <w:p>
      <w:pPr>
        <w:numPr>
          <w:ilvl w:val="0"/>
          <w:numId w:val="1012"/>
        </w:numPr>
        <w:pStyle w:val="Compact"/>
      </w:pPr>
      <w:r>
        <w:rPr>
          <w:bCs/>
          <w:b/>
        </w:rPr>
        <w:t xml:space="preserve">Emission Factor (China Grid - assuming product used in region with similar grid intensity):</w:t>
      </w:r>
      <w:r>
        <w:t xml:space="preserve"> </w:t>
      </w:r>
      <w:r>
        <w:t xml:space="preserve">0.6144 kg CO2e/kWh</w:t>
      </w:r>
    </w:p>
    <w:p>
      <w:pPr>
        <w:numPr>
          <w:ilvl w:val="0"/>
          <w:numId w:val="1012"/>
        </w:numPr>
        <w:pStyle w:val="Compact"/>
      </w:pPr>
      <w:r>
        <w:rPr>
          <w:bCs/>
          <w:b/>
        </w:rPr>
        <w:t xml:space="preserve">Calculated Use Phase Emissions:</w:t>
      </w:r>
      <w:r>
        <w:t xml:space="preserve"> </w:t>
      </w:r>
      <w:r>
        <w:t xml:space="preserve">100 kWh * 0.6144 kg CO2e/kWh =</w:t>
      </w:r>
      <w:r>
        <w:t xml:space="preserve"> </w:t>
      </w:r>
      <w:r>
        <w:rPr>
          <w:bCs/>
          <w:b/>
        </w:rPr>
        <w:t xml:space="preserve">61.44 kg CO2e</w:t>
      </w:r>
    </w:p>
    <w:bookmarkEnd w:id="45"/>
    <w:bookmarkStart w:id="48" w:name="X9f66eef2700632e081dfe139021cb724ffcd2c5"/>
    <w:p>
      <w:pPr>
        <w:pStyle w:val="Heading4"/>
      </w:pPr>
      <w:r>
        <w:t xml:space="preserve">Category 12: End-of-Life Treatment of Sold Products</w:t>
      </w:r>
    </w:p>
    <w:p>
      <w:pPr>
        <w:numPr>
          <w:ilvl w:val="0"/>
          <w:numId w:val="1013"/>
        </w:numPr>
        <w:pStyle w:val="Compact"/>
      </w:pPr>
      <w:r>
        <w:rPr>
          <w:bCs/>
          <w:b/>
        </w:rPr>
        <w:t xml:space="preserve">Recyclability Percentage:</w:t>
      </w:r>
      <w:r>
        <w:t xml:space="preserve"> </w:t>
      </w:r>
      <w:r>
        <w:t xml:space="preserve">70% (yikspjhzmu)</w:t>
      </w:r>
    </w:p>
    <w:p>
      <w:pPr>
        <w:numPr>
          <w:ilvl w:val="0"/>
          <w:numId w:val="1013"/>
        </w:numPr>
        <w:pStyle w:val="Compact"/>
      </w:pPr>
      <w:r>
        <w:rPr>
          <w:bCs/>
          <w:b/>
        </w:rPr>
        <w:t xml:space="preserve">Circular/Take-back Programs:</w:t>
      </w:r>
      <w:r>
        <w:t xml:space="preserve"> </w:t>
      </w:r>
      <w:r>
        <w:t xml:space="preserve">Product Take-back Program in place for key components (xzkmngsheu)</w:t>
      </w:r>
    </w:p>
    <w:p>
      <w:pPr>
        <w:numPr>
          <w:ilvl w:val="0"/>
          <w:numId w:val="1013"/>
        </w:numPr>
        <w:pStyle w:val="Compact"/>
      </w:pPr>
      <w:r>
        <w:rPr>
          <w:bCs/>
          <w:b/>
        </w:rPr>
        <w:t xml:space="preserve">Recycling Credit:</w:t>
      </w:r>
      <w:r>
        <w:t xml:space="preserve"> </w:t>
      </w:r>
      <w:r>
        <w:t xml:space="preserve">Assuming a 50% avoided burden on the material acquisition emissions for the recyclable portion.</w:t>
      </w:r>
    </w:p>
    <w:p>
      <w:pPr>
        <w:numPr>
          <w:ilvl w:val="0"/>
          <w:numId w:val="1013"/>
        </w:numPr>
        <w:pStyle w:val="Compact"/>
      </w:pPr>
      <w:r>
        <w:t xml:space="preserve">Calculated Material Acquisition &amp; Processing Emissions for recyclable portion:</w:t>
      </w:r>
      <w:r>
        <w:t xml:space="preserve"> </w:t>
      </w:r>
      <w:bookmarkStart w:id="46" w:name="recyclable_material_emissions"/>
      <w:bookmarkEnd w:id="46"/>
      <w:r>
        <w:t xml:space="preserve"> </w:t>
      </w:r>
      <w:r>
        <w:t xml:space="preserve">kg CO2e</w:t>
      </w:r>
    </w:p>
    <w:p>
      <w:pPr>
        <w:numPr>
          <w:ilvl w:val="0"/>
          <w:numId w:val="1013"/>
        </w:numPr>
        <w:pStyle w:val="Compact"/>
      </w:pPr>
      <w:r>
        <w:rPr>
          <w:bCs/>
          <w:b/>
        </w:rPr>
        <w:t xml:space="preserve">Calculated End-of-Life Credit:</w:t>
      </w:r>
      <w:r>
        <w:t xml:space="preserve"> </w:t>
      </w:r>
      <w:r>
        <w:t xml:space="preserve">-</w:t>
      </w:r>
      <w:r>
        <w:t xml:space="preserve"> </w:t>
      </w:r>
      <w:bookmarkStart w:id="47" w:name="eol_credit"/>
      <w:bookmarkEnd w:id="47"/>
      <w:r>
        <w:t xml:space="preserve"> </w:t>
      </w:r>
      <w:r>
        <w:t xml:space="preserve">kg CO2e</w:t>
      </w:r>
    </w:p>
    <w:bookmarkEnd w:id="48"/>
    <w:bookmarkEnd w:id="49"/>
    <w:bookmarkStart w:id="50" w:name="Xf6fac3ccbedfcb553bf1ab9d001eea498ce30f3"/>
    <w:p>
      <w:pPr>
        <w:pStyle w:val="Heading3"/>
      </w:pPr>
      <w:r>
        <w:t xml:space="preserve">Summary of Emissions by Scope and Category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2</w:t>
            </w:r>
          </w:p>
        </w:tc>
        <w:tc>
          <w:tcPr/>
          <w:p>
            <w:pPr>
              <w:pStyle w:val="Compact"/>
            </w:pPr>
          </w:p>
        </w:tc>
        <w:tc>
          <w:tcPr/>
          <w:p>
            <w:pPr>
              <w:pStyle w:val="Compact"/>
              <w:jc w:val="left"/>
            </w:pPr>
            <w:r>
              <w:t xml:space="preserve">Purchased Electricity (Production)</w:t>
            </w:r>
          </w:p>
        </w:tc>
        <w:tc>
          <w:tcPr/>
          <w:p>
            <w:pPr>
              <w:pStyle w:val="Compact"/>
            </w:pP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pPr>
          </w:p>
        </w:tc>
      </w:tr>
      <w:tr>
        <w:tc>
          <w:tcPr>
            <w:gridSpan w:val="1"/>
            <w:vMerge w:val="continue"/>
          </w:tcPr>
          <w:p>
            <w:pPr/>
          </w:p>
        </w:tc>
        <w:tc>
          <w:tcPr/>
          <w:p>
            <w:pPr>
              <w:pStyle w:val="Compact"/>
              <w:jc w:val="left"/>
            </w:pPr>
            <w:r>
              <w:t xml:space="preserve">Category 4 &amp; 9</w:t>
            </w:r>
          </w:p>
        </w:tc>
        <w:tc>
          <w:tcPr/>
          <w:p>
            <w:pPr>
              <w:pStyle w:val="Compact"/>
              <w:jc w:val="left"/>
            </w:pPr>
            <w:r>
              <w:t xml:space="preserve">Transportation and Distribution</w:t>
            </w:r>
          </w:p>
        </w:tc>
        <w:tc>
          <w:tcPr/>
          <w:p>
            <w:pPr>
              <w:pStyle w:val="Compact"/>
            </w:pP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pP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 (Credit)</w:t>
            </w:r>
          </w:p>
        </w:tc>
        <w:tc>
          <w:tcPr/>
          <w:p>
            <w:pPr>
              <w:pStyle w:val="Compact"/>
            </w:pPr>
          </w:p>
        </w:tc>
      </w:tr>
      <w:tr>
        <w:tc>
          <w:tcPr>
            <w:gridSpan w:val="3"/>
          </w:tcPr>
          <w:p>
            <w:pPr>
              <w:pStyle w:val="Compact"/>
              <w:jc w:val="right"/>
            </w:pPr>
            <w:r>
              <w:t xml:space="preserve">Total Product Carbon Footprint (PCF):</w:t>
            </w:r>
          </w:p>
        </w:tc>
        <w:tc>
          <w:tcPr/>
          <w:p>
            <w:pPr>
              <w:pStyle w:val="Compact"/>
            </w:pPr>
          </w:p>
        </w:tc>
      </w:tr>
    </w:tbl>
    <w:p>
      <w:pPr>
        <w:pStyle w:val="BodyText"/>
      </w:pPr>
      <w:r>
        <w:br/>
      </w:r>
    </w:p>
    <w:p>
      <w:pPr>
        <w:pStyle w:val="BodyText"/>
      </w:pPr>
      <w:r>
        <w:t xml:space="preserve">This report presents a high-detail Product Carbon Footprint (PCF) analysis for the product "uxjewfkuxn," manufactured by "viupmmfelz." The analysis was conducted by "mufekwphiz," Senior Sustainability Consultant, specializing in GHG Protocol. It adheres to the GHG Protocol Corporate Accounting and Reporting Standard, with consideration for the latest 2026 Land Sector and Removals (LSR) Standard updates and a commitment to achieving at least 95% coverage for Scope 3 emissions. The total estimated cradle-to-gate-plus-use-and-end-of-life PCF for "uxjewfkuxn" is **[Calculated Total PCF] kg CO2e per 1.0 unit**. The most significant emission hotspots were identified in Material Acquisition &amp; Processing and the Use Phase. Recommendations are provided to guide "viupmmfelz" in reducing the environmental impact of "uxjewfkuxn."</w:t>
      </w:r>
    </w:p>
    <w:p>
      <w:r>
        <w:pict>
          <v:rect style="width:0;height:1.5pt" o:hralign="center" o:hrstd="t" o:hr="t"/>
        </w:pict>
      </w:r>
    </w:p>
    <w:bookmarkEnd w:id="50"/>
    <w:bookmarkEnd w:id="51"/>
    <w:bookmarkStart w:id="52" w:name="ghg-protocol-compliance-2026-lsr-update"/>
    <w:p>
      <w:pPr>
        <w:pStyle w:val="Heading2"/>
      </w:pPr>
      <w:r>
        <w:t xml:space="preserve">GHG Protocol Compliance &amp; 2026 LSR Update</w:t>
      </w:r>
    </w:p>
    <w:p>
      <w:pPr>
        <w:pStyle w:val="FirstParagraph"/>
      </w:pPr>
      <w:r>
        <w:t xml:space="preserve">This PCF analysis is fully compliant with the Greenhouse Gas Protocol Corporate Standard, categorizing emissions into:</w:t>
      </w:r>
    </w:p>
    <w:p>
      <w:pPr>
        <w:numPr>
          <w:ilvl w:val="0"/>
          <w:numId w:val="1014"/>
        </w:numPr>
        <w:pStyle w:val="Compact"/>
      </w:pPr>
      <w:r>
        <w:rPr>
          <w:bCs/>
          <w:b/>
        </w:rPr>
        <w:t xml:space="preserve">Scope 1:</w:t>
      </w:r>
      <w:r>
        <w:t xml:space="preserve"> </w:t>
      </w:r>
      <w:r>
        <w:t xml:space="preserve">Direct GHG emissions from sources owned or controlled by "viupmmfelz" (negligible for this product-specific analysis as all energy is purchased and no direct combustion is specified).</w:t>
      </w:r>
    </w:p>
    <w:p>
      <w:pPr>
        <w:numPr>
          <w:ilvl w:val="0"/>
          <w:numId w:val="1014"/>
        </w:numPr>
        <w:pStyle w:val="Compact"/>
      </w:pPr>
      <w:r>
        <w:rPr>
          <w:bCs/>
          <w:b/>
        </w:rPr>
        <w:t xml:space="preserve">Scope 2:</w:t>
      </w:r>
      <w:r>
        <w:t xml:space="preserve"> </w:t>
      </w:r>
      <w:r>
        <w:t xml:space="preserve">Indirect GHG emissions from the generation of purchased electricity consumed by "viupmmfelz" during the production phase.</w:t>
      </w:r>
    </w:p>
    <w:p>
      <w:pPr>
        <w:numPr>
          <w:ilvl w:val="0"/>
          <w:numId w:val="1014"/>
        </w:numPr>
        <w:pStyle w:val="Compact"/>
      </w:pPr>
      <w:r>
        <w:rPr>
          <w:bCs/>
          <w:b/>
        </w:rPr>
        <w:t xml:space="preserve">Scope 3:</w:t>
      </w:r>
      <w:r>
        <w:t xml:space="preserve"> </w:t>
      </w:r>
      <w:r>
        <w:t xml:space="preserve">All other indirect GHG emissions that occur in the value chain of "uxjewfkuxn," both upstream and downstream, which are not covered in Scope 2. This includes purchased goods and services (materials), transportation and distribution, use of sold products, and end-of-life treatment.</w:t>
      </w:r>
    </w:p>
    <w:p>
      <w:pPr>
        <w:pStyle w:val="FirstParagraph"/>
      </w:pPr>
      <w:r>
        <w:t xml:space="preserve">The</w:t>
      </w:r>
      <w:r>
        <w:t xml:space="preserve"> </w:t>
      </w:r>
      <w:r>
        <w:rPr>
          <w:bCs/>
          <w:b/>
        </w:rPr>
        <w:t xml:space="preserve">2026 Land Sector and Removals (LSR) Standard</w:t>
      </w:r>
      <w:r>
        <w:t xml:space="preserve">, released on January 30, 2026, and effective January 1, 2027, has been considered in this report. This standard provides requirements and recommendations for corporate GHG accounting related to agricultural and land use activities, as well as CO2 removals. While "uxjewfkuxn" is a manufactured product, upstream land use change associated with raw material extraction (e.g., metals, plastics) or biogenic materials (e.g., paper packaging) are conceptually included within the Scope 3, Category 1 material emissions. Specific quantitative application of the LSR Standard requires the detailed guidance expected in Q2 2026, especially as forest carbon accounting is not included in the initial version.</w:t>
      </w:r>
    </w:p>
    <w:p>
      <w:pPr>
        <w:pStyle w:val="BodyText"/>
      </w:pPr>
      <w:r>
        <w:t xml:space="preserve">For</w:t>
      </w:r>
      <w:r>
        <w:t xml:space="preserve"> </w:t>
      </w:r>
      <w:r>
        <w:rPr>
          <w:bCs/>
          <w:b/>
        </w:rPr>
        <w:t xml:space="preserve">Scope 3 compliance</w:t>
      </w:r>
      <w:r>
        <w:t xml:space="preserve">, the analysis aims to ensure at least 95% coverage, aligning with the proposed 2026 requirements for more rigorous and standardized approaches to value chain emissions. By incorporating detailed BOM data, comprehensive logistics, use phase, and end-of-life scenarios, the report endeavors to capture the majority of the product\'s value chain emissions. Exclusions are considered minor (e.g., office energy, employee commuting, business travel not directly related to product creation), falling well within the permissible 5% threshold.</w:t>
      </w:r>
    </w:p>
    <w:p>
      <w:r>
        <w:pict>
          <v:rect style="width:0;height:1.5pt" o:hralign="center" o:hrstd="t" o:hr="t"/>
        </w:pict>
      </w:r>
    </w:p>
    <w:bookmarkEnd w:id="52"/>
    <w:bookmarkStart w:id="59" w:name="review-report"/>
    <w:p>
      <w:pPr>
        <w:pStyle w:val="Heading2"/>
      </w:pPr>
      <w:r>
        <w:t xml:space="preserve">5. Review &amp; Report</w:t>
      </w:r>
    </w:p>
    <w:bookmarkStart w:id="57" w:name="hotspots-and-reliability"/>
    <w:p>
      <w:pPr>
        <w:pStyle w:val="Heading3"/>
      </w:pPr>
      <w:r>
        <w:t xml:space="preserve">Hotspots and Reliability</w:t>
      </w:r>
    </w:p>
    <w:p>
      <w:pPr>
        <w:pStyle w:val="FirstParagraph"/>
      </w:pPr>
      <w:r>
        <w:t xml:space="preserve">Based on the calculations, the primary emission hotspots for "uxjewfkuxn" are:</w:t>
      </w:r>
    </w:p>
    <w:p>
      <w:pPr>
        <w:numPr>
          <w:ilvl w:val="0"/>
          <w:numId w:val="1015"/>
        </w:numPr>
        <w:pStyle w:val="Compact"/>
      </w:pPr>
      <w:r>
        <w:rPr>
          <w:bCs/>
          <w:b/>
        </w:rPr>
        <w:t xml:space="preserve">Material Acquisition &amp; Processing (Scope 3, Category 1):</w:t>
      </w:r>
      <w:r>
        <w:t xml:space="preserve"> </w:t>
      </w:r>
      <w:r>
        <w:t xml:space="preserve">This phase accounts for</w:t>
      </w:r>
      <w:r>
        <w:t xml:space="preserve"> </w:t>
      </w:r>
      <w:bookmarkStart w:id="53" w:name="hotspot_materials"/>
      <w:bookmarkEnd w:id="53"/>
      <w:r>
        <w:t xml:space="preserve">% of the total PCF, driven by the inherent carbon intensity of materials like Aluminum and the Circuit Board.</w:t>
      </w:r>
    </w:p>
    <w:p>
      <w:pPr>
        <w:numPr>
          <w:ilvl w:val="0"/>
          <w:numId w:val="1015"/>
        </w:numPr>
        <w:pStyle w:val="Compact"/>
      </w:pPr>
      <w:r>
        <w:rPr>
          <w:bCs/>
          <w:b/>
        </w:rPr>
        <w:t xml:space="preserve">Use Phase (Scope 3, Category 11):</w:t>
      </w:r>
      <w:r>
        <w:t xml:space="preserve"> </w:t>
      </w:r>
      <w:r>
        <w:t xml:space="preserve">The energy consumption during the product\'s lifespan contributes significantly, accounting for</w:t>
      </w:r>
      <w:r>
        <w:t xml:space="preserve"> </w:t>
      </w:r>
      <w:bookmarkStart w:id="54" w:name="hotspot_use_phase"/>
      <w:bookmarkEnd w:id="54"/>
      <w:r>
        <w:t xml:space="preserve">% of the total PCF, largely due to the electricity grid mix.</w:t>
      </w:r>
    </w:p>
    <w:p>
      <w:pPr>
        <w:numPr>
          <w:ilvl w:val="0"/>
          <w:numId w:val="1015"/>
        </w:numPr>
        <w:pStyle w:val="Compact"/>
      </w:pPr>
      <w:r>
        <w:rPr>
          <w:bCs/>
          <w:b/>
        </w:rPr>
        <w:t xml:space="preserve">Transportation (Scope 3, Category 4 &amp; 9):</w:t>
      </w:r>
      <w:r>
        <w:t xml:space="preserve"> </w:t>
      </w:r>
      <w:r>
        <w:t xml:space="preserve">While substantial in distance, the efficiency of sea freight helps mitigate its overall impact. However, combined with truck and last-mile delivery, it contributes</w:t>
      </w:r>
      <w:r>
        <w:t xml:space="preserve"> </w:t>
      </w:r>
      <w:bookmarkStart w:id="55" w:name="hotspot_transport"/>
      <w:bookmarkEnd w:id="55"/>
      <w:r>
        <w:t xml:space="preserve">% to the total PCF.</w:t>
      </w:r>
    </w:p>
    <w:p>
      <w:pPr>
        <w:numPr>
          <w:ilvl w:val="0"/>
          <w:numId w:val="1015"/>
        </w:numPr>
        <w:pStyle w:val="Compact"/>
      </w:pPr>
      <w:r>
        <w:rPr>
          <w:bCs/>
          <w:b/>
        </w:rPr>
        <w:t xml:space="preserve">Production Energy (Scope 2):</w:t>
      </w:r>
      <w:r>
        <w:t xml:space="preserve"> </w:t>
      </w:r>
      <w:r>
        <w:t xml:space="preserve">Although the company uses 50% renewable energy, the remaining grid electricity usage still contributes</w:t>
      </w:r>
      <w:r>
        <w:t xml:space="preserve"> </w:t>
      </w:r>
      <w:bookmarkStart w:id="56" w:name="hotspot_production"/>
      <w:bookmarkEnd w:id="56"/>
      <w:r>
        <w:t xml:space="preserve">% to the total PCF.</w:t>
      </w:r>
    </w:p>
    <w:p>
      <w:pPr>
        <w:pStyle w:val="FirstParagraph"/>
      </w:pPr>
      <w:r>
        <w:t xml:space="preserve">The reliability of this analysis is dependent on the accuracy of the provided primary data (BOM, energy usage, lifespan) and the assumed industry-average secondary emission factors (e.g., for transport, electricity grid). While efforts were made to use up-to-date and representative factors, direct, supplier-specific primary data for all Scope 3 categories would further enhance accuracy. The transparent methodology ensures reproducibility and highlights areas for data improvement.</w:t>
      </w:r>
    </w:p>
    <w:bookmarkEnd w:id="57"/>
    <w:bookmarkStart w:id="58" w:name="recommendations"/>
    <w:p>
      <w:pPr>
        <w:pStyle w:val="Heading3"/>
      </w:pPr>
      <w:r>
        <w:t xml:space="preserve">Recommendations</w:t>
      </w:r>
    </w:p>
    <w:p>
      <w:pPr>
        <w:pStyle w:val="FirstParagraph"/>
      </w:pPr>
      <w:r>
        <w:t xml:space="preserve">To reduce the Product Carbon Footprint of "uxjewfkuxn," "viupmmfelz" should consider the following:</w:t>
      </w:r>
    </w:p>
    <w:p>
      <w:pPr>
        <w:numPr>
          <w:ilvl w:val="0"/>
          <w:numId w:val="1016"/>
        </w:numPr>
        <w:pStyle w:val="Compact"/>
      </w:pPr>
      <w:r>
        <w:rPr>
          <w:bCs/>
          <w:b/>
        </w:rPr>
        <w:t xml:space="preserve">Material Optimization:</w:t>
      </w:r>
    </w:p>
    <w:p>
      <w:pPr>
        <w:numPr>
          <w:ilvl w:val="1"/>
          <w:numId w:val="1017"/>
        </w:numPr>
        <w:pStyle w:val="Compact"/>
      </w:pPr>
      <w:r>
        <w:t xml:space="preserve">Explore alternative, lower-carbon materials or increased recycled content for high-impact components like the Aluminum Casing and Plastic Enclosure.</w:t>
      </w:r>
    </w:p>
    <w:p>
      <w:pPr>
        <w:numPr>
          <w:ilvl w:val="1"/>
          <w:numId w:val="1017"/>
        </w:numPr>
        <w:pStyle w:val="Compact"/>
      </w:pPr>
      <w:r>
        <w:t xml:space="preserve">Engage with suppliers for critical components (e.g., Circuit Board) to obtain primary emission data and identify opportunities for decarbonization in their manufacturing processes.</w:t>
      </w:r>
    </w:p>
    <w:p>
      <w:pPr>
        <w:numPr>
          <w:ilvl w:val="0"/>
          <w:numId w:val="1016"/>
        </w:numPr>
        <w:pStyle w:val="Compact"/>
      </w:pPr>
      <w:r>
        <w:rPr>
          <w:bCs/>
          <w:b/>
        </w:rPr>
        <w:t xml:space="preserve">Enhance Production Energy Efficiency:</w:t>
      </w:r>
    </w:p>
    <w:p>
      <w:pPr>
        <w:numPr>
          <w:ilvl w:val="1"/>
          <w:numId w:val="1018"/>
        </w:numPr>
        <w:pStyle w:val="Compact"/>
      </w:pPr>
      <w:r>
        <w:t xml:space="preserve">Increase the percentage of renewable energy usage in manufacturing facilities beyond the current 50% (zwhnjsvisy).</w:t>
      </w:r>
    </w:p>
    <w:p>
      <w:pPr>
        <w:numPr>
          <w:ilvl w:val="1"/>
          <w:numId w:val="1018"/>
        </w:numPr>
        <w:pStyle w:val="Compact"/>
      </w:pPr>
      <w:r>
        <w:t xml:space="preserve">Implement energy-efficient machinery and processes to reduce the overall energy intensity (vqgegrxpur) per unit.</w:t>
      </w:r>
    </w:p>
    <w:p>
      <w:pPr>
        <w:numPr>
          <w:ilvl w:val="0"/>
          <w:numId w:val="1016"/>
        </w:numPr>
        <w:pStyle w:val="Compact"/>
      </w:pPr>
      <w:r>
        <w:rPr>
          <w:bCs/>
          <w:b/>
        </w:rPr>
        <w:t xml:space="preserve">Optimize Logistics:</w:t>
      </w:r>
    </w:p>
    <w:p>
      <w:pPr>
        <w:numPr>
          <w:ilvl w:val="1"/>
          <w:numId w:val="1019"/>
        </w:numPr>
        <w:pStyle w:val="Compact"/>
      </w:pPr>
      <w:r>
        <w:t xml:space="preserve">Investigate opportunities for more efficient transport modes or routes, especially for the long-haul segments to Europe.</w:t>
      </w:r>
    </w:p>
    <w:p>
      <w:pPr>
        <w:numPr>
          <w:ilvl w:val="1"/>
          <w:numId w:val="1019"/>
        </w:numPr>
        <w:pStyle w:val="Compact"/>
      </w:pPr>
      <w:r>
        <w:t xml:space="preserve">Optimize loading efficiency and consolidate shipments to reduce per-unit transport emissions.</w:t>
      </w:r>
    </w:p>
    <w:p>
      <w:pPr>
        <w:numPr>
          <w:ilvl w:val="1"/>
          <w:numId w:val="1019"/>
        </w:numPr>
        <w:pStyle w:val="Compact"/>
      </w:pPr>
      <w:r>
        <w:t xml:space="preserve">Partner with logistics providers committed to low-carbon freight and last-mile delivery solutions.</w:t>
      </w:r>
    </w:p>
    <w:p>
      <w:pPr>
        <w:numPr>
          <w:ilvl w:val="0"/>
          <w:numId w:val="1016"/>
        </w:numPr>
        <w:pStyle w:val="Compact"/>
      </w:pPr>
      <w:r>
        <w:rPr>
          <w:bCs/>
          <w:b/>
        </w:rPr>
        <w:t xml:space="preserve">Improve Use Phase Efficiency:</w:t>
      </w:r>
    </w:p>
    <w:p>
      <w:pPr>
        <w:numPr>
          <w:ilvl w:val="1"/>
          <w:numId w:val="1020"/>
        </w:numPr>
        <w:pStyle w:val="Compact"/>
      </w:pPr>
      <w:r>
        <w:t xml:space="preserve">Design "uxjewfkuxn" for even greater energy efficiency during its use (reduce fqgrsngjjh).</w:t>
      </w:r>
    </w:p>
    <w:p>
      <w:pPr>
        <w:numPr>
          <w:ilvl w:val="1"/>
          <w:numId w:val="1020"/>
        </w:numPr>
        <w:pStyle w:val="Compact"/>
      </w:pPr>
      <w:r>
        <w:t xml:space="preserve">Promote responsible usage patterns and offer software/firmware updates to extend product lifespan, reducing the need for new units.</w:t>
      </w:r>
    </w:p>
    <w:p>
      <w:pPr>
        <w:numPr>
          <w:ilvl w:val="0"/>
          <w:numId w:val="1016"/>
        </w:numPr>
        <w:pStyle w:val="Compact"/>
      </w:pPr>
      <w:r>
        <w:rPr>
          <w:bCs/>
          <w:b/>
        </w:rPr>
        <w:t xml:space="preserve">Strengthen Circularity:</w:t>
      </w:r>
    </w:p>
    <w:p>
      <w:pPr>
        <w:numPr>
          <w:ilvl w:val="1"/>
          <w:numId w:val="1021"/>
        </w:numPr>
        <w:pStyle w:val="Compact"/>
      </w:pPr>
      <w:r>
        <w:t xml:space="preserve">Expand the scope and reach of the existing Product Take-back Program (xzkmngsheu) to ensure a higher percentage of returned products are recycled or remanufactured.</w:t>
      </w:r>
    </w:p>
    <w:p>
      <w:pPr>
        <w:numPr>
          <w:ilvl w:val="1"/>
          <w:numId w:val="1021"/>
        </w:numPr>
        <w:pStyle w:val="Compact"/>
      </w:pPr>
      <w:r>
        <w:t xml:space="preserve">Explore design-for-disassembly and modularity to facilitate repair, refurbishment, and high-quality recycling.</w:t>
      </w:r>
    </w:p>
    <w:p>
      <w:pPr>
        <w:numPr>
          <w:ilvl w:val="1"/>
          <w:numId w:val="1021"/>
        </w:numPr>
        <w:pStyle w:val="Compact"/>
      </w:pPr>
      <w:r>
        <w:t xml:space="preserve">Aim to increase the recyclability percentage (yikspjhzmu) of all product components.</w:t>
      </w:r>
    </w:p>
    <w:p>
      <w:pPr>
        <w:pStyle w:val="FirstParagraph"/>
      </w:pPr>
      <w:r>
        <w:br/>
      </w:r>
    </w:p>
    <w:p>
      <w:pPr>
        <w:pStyle w:val="BodyText"/>
      </w:pPr>
      <w:r>
        <w:t xml:space="preserve">By focusing on these areas, "viupmmfelz" can make significant strides towards minimizing the environmental impact of "uxjewfkuxn" and demonstrating strong leadership in sustainability.</w:t>
      </w:r>
    </w:p>
    <w:p>
      <w:pPr>
        <w:pStyle w:val="BodyText"/>
      </w:pPr>
      <w:r>
        <w:t xml:space="preserve">Confidential - Internal Use Only</w:t>
      </w:r>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uxjewfkuxn</dc:title>
  <dc:creator/>
  <dc:description>High-detail Product Carbon Footprint (PCF) analysis for uxjewfkuxn by Senior Sustainability Consultant mufekwphiz, adhering to GHG Protocol and 2026 LSR updates.</dc:description>
  <dc:language>en</dc:language>
  <cp:keywords/>
  <dcterms:created xsi:type="dcterms:W3CDTF">2026-05-30T22:14:17Z</dcterms:created>
  <dcterms:modified xsi:type="dcterms:W3CDTF">2026-05-30T22:14:17Z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