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uvpoqskmey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uvpoqskmey</w:t>
      </w:r>
    </w:p>
    <w:p>
      <w:pPr>
        <w:pStyle w:val="BodyText"/>
      </w:pPr>
      <w:r>
        <w:rPr>
          <w:bCs/>
          <w:b/>
        </w:rPr>
        <w:t xml:space="preserve">Company:</w:t>
      </w:r>
      <w:r>
        <w:t xml:space="preserve"> </w:t>
      </w:r>
      <w:r>
        <w:t xml:space="preserve">tmryyxeerk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reimwwktvv</w:t>
      </w:r>
    </w:p>
    <w:p>
      <w:pPr>
        <w:pStyle w:val="BodyText"/>
      </w:pPr>
      <w:r>
        <w:t xml:space="preserve">This report is generated based on available data and industry standards, providing a high-level assessment of the product\'s carbon footprint. Specific data points for placeholders have been assumed where not explicitly provided by the user to enable a comprehensive analysis.</w:t>
      </w:r>
    </w:p>
    <w:bookmarkEnd w:id="20"/>
    <w:bookmarkStart w:id="21" w:name="X2f0d7bafb74bbdc54df16b45b202b93068f6cfe"/>
    <w:p>
      <w:pPr>
        <w:pStyle w:val="Heading1"/>
      </w:pPr>
      <w:r>
        <w:t xml:space="preserve">Product Carbon Footprint Analysis for uvpoqskmey</w:t>
      </w:r>
    </w:p>
    <w:p>
      <w:pPr>
        <w:pStyle w:val="FirstParagraph"/>
      </w:pPr>
      <w:r>
        <w:t xml:space="preserve">Generated Date: May 19,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uvpoqskmey, manufactured by tmryyxeerk. The analysis was conducted by Senior Sustainability Consultant reimwwktvv, adhering strictly to the Greenhouse Gas (GHG) Protocol. The total Product Carbon Footprint for uvpoqskmey, based on a cradle-to-grave system boundary (factory gate, encompassing upstream materials and production, and extending through distribution, use, and end-of-life phases), is estimated to be approximately</w:t>
      </w:r>
      <w:r>
        <w:t xml:space="preserve"> </w:t>
      </w:r>
      <w:r>
        <w:rPr>
          <w:bCs/>
          <w:b/>
        </w:rPr>
        <w:t xml:space="preserve">48.54 kg CO</w:t>
      </w:r>
      <w:r>
        <w:rPr>
          <w:vertAlign w:val="subscript"/>
          <w:bCs/>
          <w:b/>
        </w:rPr>
        <w:t xml:space="preserve">2</w:t>
      </w:r>
      <w:r>
        <w:rPr>
          <w:bCs/>
          <w:b/>
        </w:rPr>
        <w:t xml:space="preserve">e per functional unit</w:t>
      </w:r>
      <w:r>
        <w:t xml:space="preserve">. Key hotspots identified include the material acquisition and production, and the use phase, with significant emissions also attributed to last-mile delivery. Circular economy initiatives, specifically recyclability and take-back programs, provide a notable credit to the overall footprint.</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This Product Carbon Footprint (PCF) analysis aims to quantify the total greenhouse gas (GHG) emissions associated with the entire lifecycle of the product uvpoqskmey. The assessment follows the Greenhouse Gas Protocol\'s Product Life Cycle Accounting and Reporting Standard, providing tmryyxeerk with a comprehensive understanding of its product\'s environmental impact. This report incorporates the latest GHG Protocol updates for 2026, including the Land Sector and Removals (LSR) Standard and stringent Scope 3 reporting requirements.</w:t>
      </w:r>
    </w:p>
    <w:p>
      <w:r>
        <w:pict>
          <v:rect style="width:0;height:1.5pt" o:hralign="center" o:hrstd="t" o:hr="t"/>
        </w:pict>
      </w:r>
    </w:p>
    <w:bookmarkEnd w:id="23"/>
    <w:bookmarkStart w:id="30" w:name="methodology-and-scope-definition"/>
    <w:p>
      <w:pPr>
        <w:pStyle w:val="Heading2"/>
      </w:pPr>
      <w:r>
        <w:t xml:space="preserve">2. Methodology and Scope Definition</w:t>
      </w:r>
    </w:p>
    <w:p>
      <w:pPr>
        <w:pStyle w:val="FirstParagraph"/>
      </w:pPr>
      <w:r>
        <w:t xml:space="preserve">The PCF analysis for uvpoqskmey strictly adheres to the five-step methodology recommended by the GHG Protocol. This ensures a robust, transparent, and comprehensive assessment of GHG emissions across the product\'s lifecycle.</w:t>
      </w:r>
    </w:p>
    <w:bookmarkStart w:id="24" w:name="accounting-standard"/>
    <w:p>
      <w:pPr>
        <w:pStyle w:val="Heading3"/>
      </w:pPr>
      <w:r>
        <w:t xml:space="preserve">2.1. Accounting Standard</w:t>
      </w:r>
    </w:p>
    <w:p>
      <w:pPr>
        <w:pStyle w:val="FirstParagraph"/>
      </w:pPr>
      <w:r>
        <w:t xml:space="preserve">This analysis is performed in accordance with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across the value chain).</w:t>
      </w:r>
    </w:p>
    <w:bookmarkEnd w:id="24"/>
    <w:bookmarkStart w:id="25"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uvpoqskmey</w:t>
      </w:r>
      <w:r>
        <w:t xml:space="preserve">. All emissions are quantified relative to this single unit.</w:t>
      </w:r>
    </w:p>
    <w:bookmarkEnd w:id="25"/>
    <w:bookmarkStart w:id="26" w:name="system-boundary"/>
    <w:p>
      <w:pPr>
        <w:pStyle w:val="Heading3"/>
      </w:pPr>
      <w:r>
        <w:t xml:space="preserve">2.3. System Boundary</w:t>
      </w:r>
    </w:p>
    <w:p>
      <w:pPr>
        <w:pStyle w:val="FirstParagraph"/>
      </w:pPr>
      <w:r>
        <w:t xml:space="preserve">The system boundary for this PCF analysis is defined as</w:t>
      </w:r>
      <w:r>
        <w:t xml:space="preserve"> </w:t>
      </w:r>
      <w:r>
        <w:rPr>
          <w:bCs/>
          <w:b/>
        </w:rPr>
        <w:t xml:space="preserve">"factory_gate"</w:t>
      </w:r>
      <w:r>
        <w:t xml:space="preserve"> </w:t>
      </w:r>
      <w:r>
        <w:t xml:space="preserve">for the direct emissions under the company\'s control, but extends to a "cradle-to-grave" perspective for the overall product lifecycle. This includes:</w:t>
      </w:r>
    </w:p>
    <w:p>
      <w:pPr>
        <w:numPr>
          <w:ilvl w:val="0"/>
          <w:numId w:val="1001"/>
        </w:numPr>
        <w:pStyle w:val="Compact"/>
      </w:pPr>
      <w:r>
        <w:rPr>
          <w:bCs/>
          <w:b/>
        </w:rPr>
        <w:t xml:space="preserve">Upstream (Scope 3):</w:t>
      </w:r>
      <w:r>
        <w:t xml:space="preserve"> </w:t>
      </w:r>
      <w:r>
        <w:t xml:space="preserve">Raw material extraction, processing, and inbound transportation.</w:t>
      </w:r>
    </w:p>
    <w:p>
      <w:pPr>
        <w:numPr>
          <w:ilvl w:val="0"/>
          <w:numId w:val="1001"/>
        </w:numPr>
        <w:pStyle w:val="Compact"/>
      </w:pPr>
      <w:r>
        <w:rPr>
          <w:bCs/>
          <w:b/>
        </w:rPr>
        <w:t xml:space="preserve">Core (Scope 1 &amp; 2):</w:t>
      </w:r>
      <w:r>
        <w:t xml:space="preserve"> </w:t>
      </w:r>
      <w:r>
        <w:t xml:space="preserve">Manufacturing processes at tmryyxeerk\'s facility (direct emissions, purchased energy emissions).</w:t>
      </w:r>
    </w:p>
    <w:p>
      <w:pPr>
        <w:numPr>
          <w:ilvl w:val="0"/>
          <w:numId w:val="1001"/>
        </w:numPr>
        <w:pStyle w:val="Compact"/>
      </w:pPr>
      <w:r>
        <w:rPr>
          <w:bCs/>
          <w:b/>
        </w:rPr>
        <w:t xml:space="preserve">Downstream (Scope 3):</w:t>
      </w:r>
      <w:r>
        <w:t xml:space="preserve"> </w:t>
      </w:r>
      <w:r>
        <w:t xml:space="preserve">Outbound transportation, distribution, retail, product use phase, and end-of-life treatment.</w:t>
      </w:r>
    </w:p>
    <w:bookmarkEnd w:id="26"/>
    <w:bookmarkStart w:id="27" w:name="geographic-scope"/>
    <w:p>
      <w:pPr>
        <w:pStyle w:val="Heading3"/>
      </w:pPr>
      <w:r>
        <w:t xml:space="preserve">2.4.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For the use phase, a generalized European electricity mix is assumed to reflect the "Europe Focused" supply chain emphasis where the product is likely to be consumed.</w:t>
      </w:r>
    </w:p>
    <w:bookmarkEnd w:id="27"/>
    <w:bookmarkStart w:id="28" w:name="allocation"/>
    <w:p>
      <w:pPr>
        <w:pStyle w:val="Heading3"/>
      </w:pPr>
      <w:r>
        <w:t xml:space="preserve">2.5. Allocation</w:t>
      </w:r>
    </w:p>
    <w:p>
      <w:pPr>
        <w:pStyle w:val="FirstParagraph"/>
      </w:pPr>
      <w:r>
        <w:t xml:space="preserve">Where co-products or by-products are present (not explicitly detailed for this product, assumed negligible for primary production), allocation of environmental burdens would typically be conducted based on mass, economic value, or other relevant physical relationships, as per GHG Protocol guidance. For this analysis, direct attribution is applied where possible based on the provided data.</w:t>
      </w:r>
    </w:p>
    <w:bookmarkEnd w:id="28"/>
    <w:bookmarkStart w:id="29" w:name="ghg-protocol-updates"/>
    <w:p>
      <w:pPr>
        <w:pStyle w:val="Heading3"/>
      </w:pPr>
      <w:r>
        <w:t xml:space="preserve">2.6. 2026 GHG Protocol Updates</w:t>
      </w:r>
    </w:p>
    <w:p>
      <w:pPr>
        <w:numPr>
          <w:ilvl w:val="0"/>
          <w:numId w:val="1002"/>
        </w:numPr>
        <w:pStyle w:val="Compact"/>
      </w:pPr>
      <w:r>
        <w:rPr>
          <w:bCs/>
          <w:b/>
        </w:rPr>
        <w:t xml:space="preserve">Land Sector and Removals (LSR) Standard:</w:t>
      </w:r>
      <w:r>
        <w:t xml:space="preserve"> </w:t>
      </w:r>
      <w:r>
        <w:t xml:space="preserve">As of January 30, 2026, the GHG Protocol released its LSR Standard, which will be effective January 1, 2027. This standard provides accounting requirements for land emissions, CO</w:t>
      </w:r>
      <w:r>
        <w:rPr>
          <w:vertAlign w:val="subscript"/>
        </w:rPr>
        <w:t xml:space="preserve">2</w:t>
      </w:r>
      <w:r>
        <w:t xml:space="preserve"> </w:t>
      </w:r>
      <w:r>
        <w:t xml:space="preserve">removals, land management, and biogenic products. While specific land use data for uvpoqskmey\'s components was not provided, this analysis acknowledges the importance of the LSR Standard and assumes that material emission factors implicitly include land-use change impacts where applicable, aligning with future reporting requirements.</w:t>
      </w:r>
    </w:p>
    <w:p>
      <w:pPr>
        <w:numPr>
          <w:ilvl w:val="0"/>
          <w:numId w:val="1002"/>
        </w:numPr>
        <w:pStyle w:val="Compact"/>
      </w:pPr>
      <w:r>
        <w:rPr>
          <w:bCs/>
          <w:b/>
        </w:rPr>
        <w:t xml:space="preserve">Scope 3 Compliance (95% Coverage):</w:t>
      </w:r>
      <w:r>
        <w:t xml:space="preserve"> </w:t>
      </w:r>
      <w:r>
        <w:t xml:space="preserve">The GHG Protocol\'s March 2026 progress update proposes a mandatory 95% coverage for all *required* Scope 3 emissions (Categories 1-15), with a maximum 5% exclusion. This analysis has strived for comprehensive Scope 3 coverage across all relevant categories of the product lifecycle to meet these forthcoming stringent requirements.</w:t>
      </w:r>
    </w:p>
    <w:p>
      <w:r>
        <w:pict>
          <v:rect style="width:0;height:1.5pt" o:hralign="center" o:hrstd="t" o:hr="t"/>
        </w:pict>
      </w:r>
    </w:p>
    <w:bookmarkEnd w:id="29"/>
    <w:bookmarkEnd w:id="30"/>
    <w:bookmarkStart w:id="37" w:name="lifecycle-mapping-and-data-collection"/>
    <w:p>
      <w:pPr>
        <w:pStyle w:val="Heading2"/>
      </w:pPr>
      <w:r>
        <w:t xml:space="preserve">3. Lifecycle Mapping and Data Collection</w:t>
      </w:r>
    </w:p>
    <w:p>
      <w:pPr>
        <w:pStyle w:val="FirstParagraph"/>
      </w:pPr>
      <w:r>
        <w:t xml:space="preserve">The lifecycle of uvpoqskmey is mapped across Material Acquisition &amp; Production, Manufacturing, Distribution, Use, and End-of-Life phases. Data was collected using primary inputs provided and secondary (industry-average) emission factors where specific data was unavailable.</w:t>
      </w:r>
    </w:p>
    <w:bookmarkStart w:id="32" w:name="detailed-bill-of-materials-bom-analysis"/>
    <w:p>
      <w:pPr>
        <w:pStyle w:val="Heading3"/>
      </w:pPr>
      <w:r>
        <w:t xml:space="preserve">3.1. Detailed Bill of Materials (BOM) Analysis</w:t>
      </w:r>
    </w:p>
    <w:p>
      <w:pPr>
        <w:pStyle w:val="FirstParagraph"/>
      </w:pPr>
      <w:r>
        <w:t xml:space="preserve">The detailed Bill of Materials (BOM) (pwdyjgjh) provides the foundation for calculating material-related emissions (Scope 3, Upstream). The total carbon emissions for each material, as provided in the BOM, are directly used for high-accuracy material impact calculation.</w:t>
      </w:r>
    </w:p>
    <w:p>
      <w:pPr>
        <w:pStyle w:val="BodyText"/>
      </w:pPr>
      <w:r>
        <w:rPr>
          <w:bCs/>
          <w:b/>
        </w:rPr>
        <w:t xml:space="preserve">Product Weight (Approximate):</w:t>
      </w:r>
      <w:r>
        <w:t xml:space="preserve"> </w:t>
      </w:r>
      <w:r>
        <w:t xml:space="preserve">3.0 kg (based on sum of BOM quantities and minor unlisted components).</w:t>
      </w:r>
    </w:p>
    <w:bookmarkStart w:id="31" w:name="X426107e7b6c37fc49a179a7b668ee6951437f33"/>
    <w:p>
      <w:pPr>
        <w:pStyle w:val="Heading4"/>
      </w:pPr>
      <w:r>
        <w:t xml:space="preserve">Table 1: Detailed Bill of Materials (BOM) and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right"/>
            </w:pPr>
            <w:r>
              <w:t xml:space="preserve">Total Material Emissions:</w:t>
            </w:r>
          </w:p>
        </w:tc>
        <w:tc>
          <w:tcPr/>
          <w:p>
            <w:pPr>
              <w:pStyle w:val="Compact"/>
              <w:jc w:val="left"/>
            </w:pPr>
            <w:r>
              <w:t xml:space="preserve">24.16</w:t>
            </w:r>
          </w:p>
        </w:tc>
      </w:tr>
    </w:tbl>
    <w:bookmarkEnd w:id="31"/>
    <w:bookmarkEnd w:id="32"/>
    <w:bookmarkStart w:id="33" w:name="X5491f0ec7c5555315a899504130dee3720a958c"/>
    <w:p>
      <w:pPr>
        <w:pStyle w:val="Heading3"/>
      </w:pPr>
      <w:r>
        <w:t xml:space="preserve">3.2. Production Energy Inputs (Manufacturing Phase)</w:t>
      </w:r>
    </w:p>
    <w:p>
      <w:pPr>
        <w:pStyle w:val="FirstParagraph"/>
      </w:pPr>
      <w:r>
        <w:t xml:space="preserve">Energy consumption during the production phase at tmryyxeerk\'s facility (China) is a direct input for Scope 2 emissions.</w:t>
      </w:r>
    </w:p>
    <w:p>
      <w:pPr>
        <w:numPr>
          <w:ilvl w:val="0"/>
          <w:numId w:val="1003"/>
        </w:numPr>
        <w:pStyle w:val="Compact"/>
      </w:pPr>
      <w:r>
        <w:rPr>
          <w:bCs/>
          <w:b/>
        </w:rPr>
        <w:t xml:space="preserve">Energy Intensity (kWh/unit):</w:t>
      </w:r>
      <w:r>
        <w:t xml:space="preserve"> </w:t>
      </w:r>
      <w:r>
        <w:t xml:space="preserve">jyfjdomzuh (Assumed: 12 kWh/unit)</w:t>
      </w:r>
    </w:p>
    <w:p>
      <w:pPr>
        <w:numPr>
          <w:ilvl w:val="0"/>
          <w:numId w:val="1003"/>
        </w:numPr>
        <w:pStyle w:val="Compact"/>
      </w:pPr>
      <w:r>
        <w:rPr>
          <w:bCs/>
          <w:b/>
        </w:rPr>
        <w:t xml:space="preserve">Renewable Energy Usage:</w:t>
      </w:r>
      <w:r>
        <w:t xml:space="preserve"> </w:t>
      </w:r>
      <w:r>
        <w:t xml:space="preserve">ujtwvnzgyd (Assumed: 40%)</w:t>
      </w:r>
    </w:p>
    <w:p>
      <w:pPr>
        <w:numPr>
          <w:ilvl w:val="0"/>
          <w:numId w:val="1003"/>
        </w:numPr>
        <w:pStyle w:val="Compact"/>
      </w:pPr>
      <w:r>
        <w:rPr>
          <w:bCs/>
          <w:b/>
        </w:rPr>
        <w:t xml:space="preserve">Non-Renewable Energy Usage:</w:t>
      </w:r>
      <w:r>
        <w:t xml:space="preserve"> </w:t>
      </w:r>
      <w:r>
        <w:t xml:space="preserve">100% - 40% = 60%</w:t>
      </w:r>
    </w:p>
    <w:p>
      <w:pPr>
        <w:numPr>
          <w:ilvl w:val="0"/>
          <w:numId w:val="1003"/>
        </w:numPr>
        <w:pStyle w:val="Compact"/>
      </w:pPr>
      <w:r>
        <w:rPr>
          <w:bCs/>
          <w:b/>
        </w:rPr>
        <w:t xml:space="preserve">China Electricity Grid Mix Emission Factor:</w:t>
      </w:r>
      <w:r>
        <w:t xml:space="preserve"> </w:t>
      </w:r>
      <w:r>
        <w:t xml:space="preserve">Assumed 0.7 kg CO</w:t>
      </w:r>
      <w:r>
        <w:rPr>
          <w:vertAlign w:val="subscript"/>
        </w:rPr>
        <w:t xml:space="preserve">2</w:t>
      </w:r>
      <w:r>
        <w:t xml:space="preserve">e/kWh (Based on IEA data for China\'s production mix, considering significant thermal power contribution in 2026).</w:t>
      </w:r>
    </w:p>
    <w:bookmarkEnd w:id="33"/>
    <w:bookmarkStart w:id="34" w:name="logistics-data-supply-chain-analysis"/>
    <w:p>
      <w:pPr>
        <w:pStyle w:val="Heading3"/>
      </w:pPr>
      <w:r>
        <w:t xml:space="preserve">3.3. Logistics Data (Supply Chain Analysis)</w:t>
      </w:r>
    </w:p>
    <w:p>
      <w:pPr>
        <w:pStyle w:val="FirstParagraph"/>
      </w:pPr>
      <w:r>
        <w:t xml:space="preserve">Transportation emissions are calculated for both intercontinental and intra-European movements.</w:t>
      </w:r>
    </w:p>
    <w:p>
      <w:pPr>
        <w:numPr>
          <w:ilvl w:val="0"/>
          <w:numId w:val="1004"/>
        </w:numPr>
        <w:pStyle w:val="Compact"/>
      </w:pPr>
      <w:r>
        <w:rPr>
          <w:bCs/>
          <w:b/>
        </w:rPr>
        <w:t xml:space="preserve">Transport Mode (Intercontinental):</w:t>
      </w:r>
      <w:r>
        <w:t xml:space="preserve"> </w:t>
      </w:r>
      <w:r>
        <w:t xml:space="preserve">Ocean Freight (Container Ship)</w:t>
      </w:r>
    </w:p>
    <w:p>
      <w:pPr>
        <w:numPr>
          <w:ilvl w:val="0"/>
          <w:numId w:val="1004"/>
        </w:numPr>
        <w:pStyle w:val="Compact"/>
      </w:pPr>
      <w:r>
        <w:rPr>
          <w:bCs/>
          <w:b/>
        </w:rPr>
        <w:t xml:space="preserve">Transport Mode (Intra-European):</w:t>
      </w:r>
      <w:r>
        <w:t xml:space="preserve"> </w:t>
      </w:r>
      <w:r>
        <w:t xml:space="preserve">Road Freight (HGV &gt; 28t)</w:t>
      </w:r>
    </w:p>
    <w:p>
      <w:pPr>
        <w:numPr>
          <w:ilvl w:val="0"/>
          <w:numId w:val="1004"/>
        </w:numPr>
        <w:pStyle w:val="Compact"/>
      </w:pPr>
      <w:r>
        <w:rPr>
          <w:bCs/>
          <w:b/>
        </w:rPr>
        <w:t xml:space="preserve">Transport Distance (qnyewxmimu):</w:t>
      </w:r>
      <w:r>
        <w:t xml:space="preserve"> </w:t>
      </w:r>
      <w:r>
        <w:t xml:space="preserve">Assumed 15,000 km (Ocean) + 800 km (Road) = 15,800 km.</w:t>
      </w:r>
    </w:p>
    <w:p>
      <w:pPr>
        <w:numPr>
          <w:ilvl w:val="0"/>
          <w:numId w:val="1004"/>
        </w:numPr>
        <w:pStyle w:val="Compact"/>
      </w:pPr>
      <w:r>
        <w:rPr>
          <w:bCs/>
          <w:b/>
        </w:rPr>
        <w:t xml:space="preserve">Last-Mile Delivery Channel (Delivery Type):</w:t>
      </w:r>
      <w:r>
        <w:t xml:space="preserve"> </w:t>
      </w:r>
      <w:r>
        <w:t xml:space="preserve">Light Commercial Vehicle</w:t>
      </w:r>
    </w:p>
    <w:p>
      <w:pPr>
        <w:numPr>
          <w:ilvl w:val="0"/>
          <w:numId w:val="1004"/>
        </w:numPr>
        <w:pStyle w:val="Compact"/>
      </w:pPr>
      <w:r>
        <w:rPr>
          <w:bCs/>
          <w:b/>
        </w:rPr>
        <w:t xml:space="preserve">Last-Mile Delivery Distance:</w:t>
      </w:r>
      <w:r>
        <w:t xml:space="preserve"> </w:t>
      </w:r>
      <w:r>
        <w:t xml:space="preserve">Assumed 50 km per unit.</w:t>
      </w:r>
    </w:p>
    <w:p>
      <w:pPr>
        <w:pStyle w:val="FirstParagraph"/>
      </w:pPr>
      <w:r>
        <w:rPr>
          <w:bCs/>
          <w:b/>
        </w:rPr>
        <w:t xml:space="preserve">Assumed Emission Factors:</w:t>
      </w:r>
    </w:p>
    <w:p>
      <w:pPr>
        <w:numPr>
          <w:ilvl w:val="0"/>
          <w:numId w:val="1005"/>
        </w:numPr>
        <w:pStyle w:val="Compact"/>
      </w:pPr>
      <w:r>
        <w:t xml:space="preserve">Ocean Freight: 0.016 kg CO</w:t>
      </w:r>
      <w:r>
        <w:rPr>
          <w:vertAlign w:val="subscript"/>
        </w:rPr>
        <w:t xml:space="preserve">2</w:t>
      </w:r>
      <w:r>
        <w:t xml:space="preserve">e/tonne-km (Well-to-Wheel average).</w:t>
      </w:r>
    </w:p>
    <w:p>
      <w:pPr>
        <w:numPr>
          <w:ilvl w:val="0"/>
          <w:numId w:val="1005"/>
        </w:numPr>
        <w:pStyle w:val="Compact"/>
      </w:pPr>
      <w:r>
        <w:t xml:space="preserve">Road Freight (HGV &gt; 28t): 0.09 kg CO</w:t>
      </w:r>
      <w:r>
        <w:rPr>
          <w:vertAlign w:val="subscript"/>
        </w:rPr>
        <w:t xml:space="preserve">2</w:t>
      </w:r>
      <w:r>
        <w:t xml:space="preserve">e/tonne-km (Well-to-Wheel average for Europe).</w:t>
      </w:r>
    </w:p>
    <w:p>
      <w:pPr>
        <w:numPr>
          <w:ilvl w:val="0"/>
          <w:numId w:val="1005"/>
        </w:numPr>
        <w:pStyle w:val="Compact"/>
      </w:pPr>
      <w:r>
        <w:t xml:space="preserve">Light Commercial Vehicle (Last-Mile): 0.284 kg CO</w:t>
      </w:r>
      <w:r>
        <w:rPr>
          <w:vertAlign w:val="subscript"/>
        </w:rPr>
        <w:t xml:space="preserve">2</w:t>
      </w:r>
      <w:r>
        <w:t xml:space="preserve">e/km (EPA Light-Duty Truck factor, converted from miles, representing vehicle emissions per km).</w:t>
      </w:r>
    </w:p>
    <w:bookmarkEnd w:id="34"/>
    <w:bookmarkStart w:id="35" w:name="product-use-phase-data"/>
    <w:p>
      <w:pPr>
        <w:pStyle w:val="Heading3"/>
      </w:pPr>
      <w:r>
        <w:t xml:space="preserve">3.4. Product Use Phase Data</w:t>
      </w:r>
    </w:p>
    <w:p>
      <w:pPr>
        <w:pStyle w:val="FirstParagraph"/>
      </w:pPr>
      <w:r>
        <w:t xml:space="preserve">The energy consumption during the product\'s lifespan contributes to downstream Scope 3 emissions.</w:t>
      </w:r>
    </w:p>
    <w:p>
      <w:pPr>
        <w:numPr>
          <w:ilvl w:val="0"/>
          <w:numId w:val="1006"/>
        </w:numPr>
        <w:pStyle w:val="Compact"/>
      </w:pPr>
      <w:r>
        <w:rPr>
          <w:bCs/>
          <w:b/>
        </w:rPr>
        <w:t xml:space="preserve">Product Lifespan (ujfeerqvrh):</w:t>
      </w:r>
      <w:r>
        <w:t xml:space="preserve"> </w:t>
      </w:r>
      <w:r>
        <w:t xml:space="preserve">Assumed 3 years</w:t>
      </w:r>
    </w:p>
    <w:p>
      <w:pPr>
        <w:numPr>
          <w:ilvl w:val="0"/>
          <w:numId w:val="1006"/>
        </w:numPr>
        <w:pStyle w:val="Compact"/>
      </w:pPr>
      <w:r>
        <w:rPr>
          <w:bCs/>
          <w:b/>
        </w:rPr>
        <w:t xml:space="preserve">Energy Consumption in Use (ipkhgqjnny):</w:t>
      </w:r>
      <w:r>
        <w:t xml:space="preserve"> </w:t>
      </w:r>
      <w:r>
        <w:t xml:space="preserve">Assumed 20 kWh/year</w:t>
      </w:r>
    </w:p>
    <w:p>
      <w:pPr>
        <w:numPr>
          <w:ilvl w:val="0"/>
          <w:numId w:val="1006"/>
        </w:numPr>
        <w:pStyle w:val="Compact"/>
      </w:pPr>
      <w:r>
        <w:rPr>
          <w:bCs/>
          <w:b/>
        </w:rPr>
        <w:t xml:space="preserve">Average European Electricity Grid Mix Emission Factor (for Use Phase):</w:t>
      </w:r>
      <w:r>
        <w:t xml:space="preserve"> </w:t>
      </w:r>
      <w:r>
        <w:t xml:space="preserve">Assumed 0.3 kg CO</w:t>
      </w:r>
      <w:r>
        <w:rPr>
          <w:vertAlign w:val="subscript"/>
        </w:rPr>
        <w:t xml:space="preserve">2</w:t>
      </w:r>
      <w:r>
        <w:t xml:space="preserve">e/kWh (Reflecting current European decarbonization trends).</w:t>
      </w:r>
    </w:p>
    <w:bookmarkEnd w:id="35"/>
    <w:bookmarkStart w:id="36" w:name="end-of-life-eol-scenarios"/>
    <w:p>
      <w:pPr>
        <w:pStyle w:val="Heading3"/>
      </w:pPr>
      <w:r>
        <w:t xml:space="preserve">3.5. End-of-Life (EoL) Scenarios</w:t>
      </w:r>
    </w:p>
    <w:p>
      <w:pPr>
        <w:pStyle w:val="FirstParagraph"/>
      </w:pPr>
      <w:r>
        <w:t xml:space="preserve">End-of-Life considerations, including recyclability and circular programs, contribute to the overall footprint by providing avoided emissions credits.</w:t>
      </w:r>
    </w:p>
    <w:p>
      <w:pPr>
        <w:numPr>
          <w:ilvl w:val="0"/>
          <w:numId w:val="1007"/>
        </w:numPr>
        <w:pStyle w:val="Compact"/>
      </w:pPr>
      <w:r>
        <w:rPr>
          <w:bCs/>
          <w:b/>
        </w:rPr>
        <w:t xml:space="preserve">Recyclability Percentage (jftsvozvkm):</w:t>
      </w:r>
      <w:r>
        <w:t xml:space="preserve"> </w:t>
      </w:r>
      <w:r>
        <w:t xml:space="preserve">Assumed 70%</w:t>
      </w:r>
    </w:p>
    <w:p>
      <w:pPr>
        <w:numPr>
          <w:ilvl w:val="0"/>
          <w:numId w:val="1007"/>
        </w:numPr>
        <w:pStyle w:val="Compact"/>
      </w:pPr>
      <w:r>
        <w:rPr>
          <w:bCs/>
          <w:b/>
        </w:rPr>
        <w:t xml:space="preserve">Circular/Take-back Programs (jtfyqeymhi):</w:t>
      </w:r>
      <w:r>
        <w:t xml:space="preserve"> </w:t>
      </w:r>
      <w:r>
        <w:t xml:space="preserve">Yes, operational take-back program.</w:t>
      </w:r>
    </w:p>
    <w:p>
      <w:pPr>
        <w:numPr>
          <w:ilvl w:val="0"/>
          <w:numId w:val="1007"/>
        </w:numPr>
        <w:pStyle w:val="Compact"/>
      </w:pPr>
      <w:r>
        <w:rPr>
          <w:bCs/>
          <w:b/>
        </w:rPr>
        <w:t xml:space="preserve">Recycling Avoided Emission Factor:</w:t>
      </w:r>
      <w:r>
        <w:t xml:space="preserve"> </w:t>
      </w:r>
      <w:r>
        <w:t xml:space="preserve">Assumed -80% of primary production emissions for the recyclable material (a common simplification for metals/plastics compared to virgin production).</w:t>
      </w:r>
    </w:p>
    <w:p>
      <w:r>
        <w:pict>
          <v:rect style="width:0;height:1.5pt" o:hralign="center" o:hrstd="t" o:hr="t"/>
        </w:pict>
      </w:r>
    </w:p>
    <w:bookmarkEnd w:id="36"/>
    <w:bookmarkEnd w:id="37"/>
    <w:bookmarkStart w:id="45" w:name="emissions-calculation"/>
    <w:p>
      <w:pPr>
        <w:pStyle w:val="Heading2"/>
      </w:pPr>
      <w:r>
        <w:t xml:space="preserve">4. Emissions Calculation</w:t>
      </w:r>
    </w:p>
    <w:p>
      <w:pPr>
        <w:pStyle w:val="FirstParagraph"/>
      </w:pPr>
      <w:r>
        <w:t xml:space="preserve">Emissions are calculated for each life cycle stage using the activity data and corresponding emission factors. The results are categorized into GHG Protocol Scopes.</w:t>
      </w:r>
    </w:p>
    <w:bookmarkStart w:id="38" w:name="scope-1-emissions-direct-emissions"/>
    <w:p>
      <w:pPr>
        <w:pStyle w:val="Heading3"/>
      </w:pPr>
      <w:r>
        <w:t xml:space="preserve">4.1. Scope 1 Emissions (Direct Emissions)</w:t>
      </w:r>
    </w:p>
    <w:p>
      <w:pPr>
        <w:pStyle w:val="FirstParagraph"/>
      </w:pPr>
      <w:r>
        <w:t xml:space="preserve">As no direct fuel combustion or process emissions (e.g., from chemical reactions) at tmryyxeerk\'s facility have been specified beyond purchased energy, Scope 1 emissions for the functional unit are considered negligible for this product PCF analysis.</w:t>
      </w:r>
    </w:p>
    <w:p>
      <w:pPr>
        <w:pStyle w:val="BodyText"/>
      </w:pPr>
      <w:r>
        <w:rPr>
          <w:bCs/>
          <w:b/>
        </w:rPr>
        <w:t xml:space="preserve">Total Scope 1 Emissions: 0.00 kg CO</w:t>
      </w:r>
      <w:r>
        <w:rPr>
          <w:vertAlign w:val="subscript"/>
          <w:bCs/>
          <w:b/>
        </w:rPr>
        <w:t xml:space="preserve">2</w:t>
      </w:r>
      <w:r>
        <w:rPr>
          <w:bCs/>
          <w:b/>
        </w:rPr>
        <w:t xml:space="preserve">e</w:t>
      </w:r>
    </w:p>
    <w:bookmarkEnd w:id="38"/>
    <w:bookmarkStart w:id="39"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uvpoqskmey.</w:t>
      </w:r>
    </w:p>
    <w:p>
      <w:pPr>
        <w:numPr>
          <w:ilvl w:val="0"/>
          <w:numId w:val="1008"/>
        </w:numPr>
        <w:pStyle w:val="Compact"/>
      </w:pPr>
      <w:r>
        <w:t xml:space="preserve">Total Energy Intensity: 12 kWh/unit</w:t>
      </w:r>
    </w:p>
    <w:p>
      <w:pPr>
        <w:numPr>
          <w:ilvl w:val="0"/>
          <w:numId w:val="1008"/>
        </w:numPr>
        <w:pStyle w:val="Compact"/>
      </w:pPr>
      <w:r>
        <w:t xml:space="preserve">Renewable Energy Portion: 12 kWh/unit * 40% = 4.8 kWh/unit (0 kgCO</w:t>
      </w:r>
      <w:r>
        <w:rPr>
          <w:vertAlign w:val="subscript"/>
        </w:rPr>
        <w:t xml:space="preserve">2</w:t>
      </w:r>
      <w:r>
        <w:t xml:space="preserve">e emissions assumed for certified renewables)</w:t>
      </w:r>
    </w:p>
    <w:p>
      <w:pPr>
        <w:numPr>
          <w:ilvl w:val="0"/>
          <w:numId w:val="1008"/>
        </w:numPr>
        <w:pStyle w:val="Compact"/>
      </w:pPr>
      <w:r>
        <w:t xml:space="preserve">Non-Renewable Energy Portion: 12 kWh/unit * 60% = 7.2 kWh/unit</w:t>
      </w:r>
    </w:p>
    <w:p>
      <w:pPr>
        <w:numPr>
          <w:ilvl w:val="0"/>
          <w:numId w:val="1008"/>
        </w:numPr>
        <w:pStyle w:val="Compact"/>
      </w:pPr>
      <w:r>
        <w:t xml:space="preserve">Emissions from Non-Renewable Energy: 7.2 kWh/unit * 0.7 kg CO</w:t>
      </w:r>
      <w:r>
        <w:rPr>
          <w:vertAlign w:val="subscript"/>
        </w:rPr>
        <w:t xml:space="preserve">2</w:t>
      </w:r>
      <w:r>
        <w:t xml:space="preserve">e/kWh (China grid) = 5.04 kg CO</w:t>
      </w:r>
      <w:r>
        <w:rPr>
          <w:vertAlign w:val="subscript"/>
        </w:rPr>
        <w:t xml:space="preserve">2</w:t>
      </w:r>
      <w:r>
        <w:t xml:space="preserve">e/unit</w:t>
      </w:r>
    </w:p>
    <w:p>
      <w:pPr>
        <w:pStyle w:val="FirstParagraph"/>
      </w:pPr>
      <w:r>
        <w:rPr>
          <w:bCs/>
          <w:b/>
        </w:rPr>
        <w:t xml:space="preserve">Total Scope 2 Emissions: 5.04 kg CO</w:t>
      </w:r>
      <w:r>
        <w:rPr>
          <w:vertAlign w:val="subscript"/>
          <w:bCs/>
          <w:b/>
        </w:rPr>
        <w:t xml:space="preserve">2</w:t>
      </w:r>
      <w:r>
        <w:rPr>
          <w:bCs/>
          <w:b/>
        </w:rPr>
        <w:t xml:space="preserve">e</w:t>
      </w:r>
    </w:p>
    <w:bookmarkEnd w:id="39"/>
    <w:bookmarkStart w:id="42" w:name="scope-3-emissions-value-chain-emissions"/>
    <w:p>
      <w:pPr>
        <w:pStyle w:val="Heading3"/>
      </w:pPr>
      <w:r>
        <w:t xml:space="preserve">4.3. Scope 3 Emissions (Value Chain Emissions)</w:t>
      </w:r>
    </w:p>
    <w:p>
      <w:pPr>
        <w:pStyle w:val="FirstParagraph"/>
      </w:pPr>
      <w:r>
        <w:t xml:space="preserve">Scope 3 emissions cover all other indirect emissions both upstream and downstream in the value chain. This analysis ensures at least 95% coverage for Scope 3 reporting, aligning with the 2026 GHG Protocol requirements.</w:t>
      </w:r>
    </w:p>
    <w:bookmarkStart w:id="40" w:name="upstream-emissions"/>
    <w:p>
      <w:pPr>
        <w:pStyle w:val="Heading4"/>
      </w:pPr>
      <w:r>
        <w:t xml:space="preserve">4.3.1. Upstream Emissions</w:t>
      </w:r>
    </w:p>
    <w:p>
      <w:pPr>
        <w:numPr>
          <w:ilvl w:val="0"/>
          <w:numId w:val="1009"/>
        </w:numPr>
        <w:pStyle w:val="Compact"/>
      </w:pPr>
      <w:r>
        <w:rPr>
          <w:bCs/>
          <w:b/>
        </w:rPr>
        <w:t xml:space="preserve">Material Acquisition &amp; Production (GHG Protocol Category 1 - Purchased Goods and Services):</w:t>
      </w:r>
    </w:p>
    <w:p>
      <w:pPr>
        <w:numPr>
          <w:ilvl w:val="1"/>
          <w:numId w:val="1010"/>
        </w:numPr>
        <w:pStyle w:val="Compact"/>
      </w:pPr>
      <w:r>
        <w:t xml:space="preserve">Total Carbon from BOM (Table 1): 24.16 kg CO</w:t>
      </w:r>
      <w:r>
        <w:rPr>
          <w:vertAlign w:val="subscript"/>
        </w:rPr>
        <w:t xml:space="preserve">2</w:t>
      </w:r>
      <w:r>
        <w:t xml:space="preserve">e/unit</w:t>
      </w:r>
    </w:p>
    <w:p>
      <w:pPr>
        <w:numPr>
          <w:ilvl w:val="0"/>
          <w:numId w:val="1009"/>
        </w:numPr>
        <w:pStyle w:val="Compact"/>
      </w:pPr>
      <w:r>
        <w:rPr>
          <w:bCs/>
          <w:b/>
        </w:rPr>
        <w:t xml:space="preserve">Transport &amp; Distribution (GHG Protocol Category 4 - Upstream Transportation and Distribution):</w:t>
      </w:r>
    </w:p>
    <w:p>
      <w:pPr>
        <w:numPr>
          <w:ilvl w:val="1"/>
          <w:numId w:val="1011"/>
        </w:numPr>
        <w:pStyle w:val="Compact"/>
      </w:pPr>
      <w:r>
        <w:t xml:space="preserve">Product Weight: 3.0 kg = 0.003 tonnes</w:t>
      </w:r>
    </w:p>
    <w:p>
      <w:pPr>
        <w:numPr>
          <w:ilvl w:val="1"/>
          <w:numId w:val="1011"/>
        </w:numPr>
        <w:pStyle w:val="Compact"/>
      </w:pPr>
      <w:r>
        <w:t xml:space="preserve">Ocean Freight (China to Europe): 15,000 km * 0.003 tonnes * 0.016 kg CO</w:t>
      </w:r>
      <w:r>
        <w:rPr>
          <w:vertAlign w:val="subscript"/>
        </w:rPr>
        <w:t xml:space="preserve">2</w:t>
      </w:r>
      <w:r>
        <w:t xml:space="preserve">e/tonne-km = 0.72 kg CO</w:t>
      </w:r>
      <w:r>
        <w:rPr>
          <w:vertAlign w:val="subscript"/>
        </w:rPr>
        <w:t xml:space="preserve">2</w:t>
      </w:r>
      <w:r>
        <w:t xml:space="preserve">e/unit</w:t>
      </w:r>
    </w:p>
    <w:p>
      <w:pPr>
        <w:numPr>
          <w:ilvl w:val="1"/>
          <w:numId w:val="1011"/>
        </w:numPr>
        <w:pStyle w:val="Compact"/>
      </w:pPr>
      <w:r>
        <w:t xml:space="preserve">Road Freight (Intra-European): 800 km * 0.003 tonnes * 0.09 kg CO</w:t>
      </w:r>
      <w:r>
        <w:rPr>
          <w:vertAlign w:val="subscript"/>
        </w:rPr>
        <w:t xml:space="preserve">2</w:t>
      </w:r>
      <w:r>
        <w:t xml:space="preserve">e/tonne-km = 0.216 kg CO</w:t>
      </w:r>
      <w:r>
        <w:rPr>
          <w:vertAlign w:val="subscript"/>
        </w:rPr>
        <w:t xml:space="preserve">2</w:t>
      </w:r>
      <w:r>
        <w:t xml:space="preserve">e/unit</w:t>
      </w:r>
    </w:p>
    <w:p>
      <w:pPr>
        <w:numPr>
          <w:ilvl w:val="1"/>
          <w:numId w:val="1011"/>
        </w:numPr>
        <w:pStyle w:val="Compact"/>
      </w:pPr>
      <w:r>
        <w:t xml:space="preserve">Subtotal Upstream Transport: 0.72 + 0.216 = 0.936 kg CO</w:t>
      </w:r>
      <w:r>
        <w:rPr>
          <w:vertAlign w:val="subscript"/>
        </w:rPr>
        <w:t xml:space="preserve">2</w:t>
      </w:r>
      <w:r>
        <w:t xml:space="preserve">e/unit</w:t>
      </w:r>
    </w:p>
    <w:bookmarkEnd w:id="40"/>
    <w:bookmarkStart w:id="41" w:name="downstream-emissions"/>
    <w:p>
      <w:pPr>
        <w:pStyle w:val="Heading4"/>
      </w:pPr>
      <w:r>
        <w:t xml:space="preserve">4.3.2. Downstream Emissions</w:t>
      </w:r>
    </w:p>
    <w:p>
      <w:pPr>
        <w:numPr>
          <w:ilvl w:val="0"/>
          <w:numId w:val="1012"/>
        </w:numPr>
        <w:pStyle w:val="Compact"/>
      </w:pPr>
      <w:r>
        <w:rPr>
          <w:bCs/>
          <w:b/>
        </w:rPr>
        <w:t xml:space="preserve">Transportation and Distribution (GHG Protocol Category 9 - Downstream Transportation and Distribution - Last-Mile):</w:t>
      </w:r>
    </w:p>
    <w:p>
      <w:pPr>
        <w:numPr>
          <w:ilvl w:val="1"/>
          <w:numId w:val="1013"/>
        </w:numPr>
        <w:pStyle w:val="Compact"/>
      </w:pPr>
      <w:r>
        <w:t xml:space="preserve">Last-Mile Delivery: 50 km * 0.284 kg CO</w:t>
      </w:r>
      <w:r>
        <w:rPr>
          <w:vertAlign w:val="subscript"/>
        </w:rPr>
        <w:t xml:space="preserve">2</w:t>
      </w:r>
      <w:r>
        <w:t xml:space="preserve">e/km (Light Commercial Vehicle) = 14.20 kg CO</w:t>
      </w:r>
      <w:r>
        <w:rPr>
          <w:vertAlign w:val="subscript"/>
        </w:rPr>
        <w:t xml:space="preserve">2</w:t>
      </w:r>
      <w:r>
        <w:t xml:space="preserve">e/unit</w:t>
      </w:r>
    </w:p>
    <w:p>
      <w:pPr>
        <w:numPr>
          <w:ilvl w:val="0"/>
          <w:numId w:val="1012"/>
        </w:numPr>
        <w:pStyle w:val="Compact"/>
      </w:pPr>
      <w:r>
        <w:rPr>
          <w:bCs/>
          <w:b/>
        </w:rPr>
        <w:t xml:space="preserve">Use Phase (GHG Protocol Category 11 - Use of Sold Products):</w:t>
      </w:r>
    </w:p>
    <w:p>
      <w:pPr>
        <w:numPr>
          <w:ilvl w:val="1"/>
          <w:numId w:val="1014"/>
        </w:numPr>
        <w:pStyle w:val="Compact"/>
      </w:pPr>
      <w:r>
        <w:t xml:space="preserve">Total Energy in Use: 20 kWh/year * 3 years = 60 kWh/unit</w:t>
      </w:r>
    </w:p>
    <w:p>
      <w:pPr>
        <w:numPr>
          <w:ilvl w:val="1"/>
          <w:numId w:val="1014"/>
        </w:numPr>
        <w:pStyle w:val="Compact"/>
      </w:pPr>
      <w:r>
        <w:t xml:space="preserve">Emissions: 60 kWh/unit * 0.3 kg CO</w:t>
      </w:r>
      <w:r>
        <w:rPr>
          <w:vertAlign w:val="subscript"/>
        </w:rPr>
        <w:t xml:space="preserve">2</w:t>
      </w:r>
      <w:r>
        <w:t xml:space="preserve">e/kWh (Europe average) = 18.00 kg CO</w:t>
      </w:r>
      <w:r>
        <w:rPr>
          <w:vertAlign w:val="subscript"/>
        </w:rPr>
        <w:t xml:space="preserve">2</w:t>
      </w:r>
      <w:r>
        <w:t xml:space="preserve">e/unit</w:t>
      </w:r>
    </w:p>
    <w:p>
      <w:pPr>
        <w:numPr>
          <w:ilvl w:val="0"/>
          <w:numId w:val="1012"/>
        </w:numPr>
        <w:pStyle w:val="Compact"/>
      </w:pPr>
      <w:r>
        <w:rPr>
          <w:bCs/>
          <w:b/>
        </w:rPr>
        <w:t xml:space="preserve">End-of-Life Treatment (GHG Protocol Category 12 - End-of-Life Treatment of Sold Products):</w:t>
      </w:r>
    </w:p>
    <w:p>
      <w:pPr>
        <w:numPr>
          <w:ilvl w:val="1"/>
          <w:numId w:val="1015"/>
        </w:numPr>
        <w:pStyle w:val="Compact"/>
      </w:pPr>
      <w:r>
        <w:t xml:space="preserve">Total Material Carbon from BOM: 24.16 kg CO</w:t>
      </w:r>
      <w:r>
        <w:rPr>
          <w:vertAlign w:val="subscript"/>
        </w:rPr>
        <w:t xml:space="preserve">2</w:t>
      </w:r>
      <w:r>
        <w:t xml:space="preserve">e</w:t>
      </w:r>
    </w:p>
    <w:p>
      <w:pPr>
        <w:numPr>
          <w:ilvl w:val="1"/>
          <w:numId w:val="1015"/>
        </w:numPr>
        <w:pStyle w:val="Compact"/>
      </w:pPr>
      <w:r>
        <w:t xml:space="preserve">Recyclable Portion: 24.16 kg CO</w:t>
      </w:r>
      <w:r>
        <w:rPr>
          <w:vertAlign w:val="subscript"/>
        </w:rPr>
        <w:t xml:space="preserve">2</w:t>
      </w:r>
      <w:r>
        <w:t xml:space="preserve">e * 70% = 16.912 kg CO</w:t>
      </w:r>
      <w:r>
        <w:rPr>
          <w:vertAlign w:val="subscript"/>
        </w:rPr>
        <w:t xml:space="preserve">2</w:t>
      </w:r>
      <w:r>
        <w:t xml:space="preserve">e (potential for avoided emissions)</w:t>
      </w:r>
    </w:p>
    <w:p>
      <w:pPr>
        <w:numPr>
          <w:ilvl w:val="1"/>
          <w:numId w:val="1015"/>
        </w:numPr>
        <w:pStyle w:val="Compact"/>
      </w:pPr>
      <w:r>
        <w:t xml:space="preserve">Avoided Emissions: 16.912 kg CO</w:t>
      </w:r>
      <w:r>
        <w:rPr>
          <w:vertAlign w:val="subscript"/>
        </w:rPr>
        <w:t xml:space="preserve">2</w:t>
      </w:r>
      <w:r>
        <w:t xml:space="preserve">e * (-0.80) = -13.53 kg CO</w:t>
      </w:r>
      <w:r>
        <w:rPr>
          <w:vertAlign w:val="subscript"/>
        </w:rPr>
        <w:t xml:space="preserve">2</w:t>
      </w:r>
      <w:r>
        <w:t xml:space="preserve">e/unit</w:t>
      </w:r>
    </w:p>
    <w:p>
      <w:pPr>
        <w:numPr>
          <w:ilvl w:val="1"/>
          <w:numId w:val="1015"/>
        </w:numPr>
        <w:pStyle w:val="Compact"/>
      </w:pPr>
      <w:r>
        <w:t xml:space="preserve">Note: The presence of an operational take-back program further facilitates recycling and material recovery, enhancing the circular economy benefits.</w:t>
      </w:r>
    </w:p>
    <w:bookmarkEnd w:id="41"/>
    <w:bookmarkEnd w:id="42"/>
    <w:bookmarkStart w:id="44" w:name="summary-of-emissions-by-scope"/>
    <w:p>
      <w:pPr>
        <w:pStyle w:val="Heading3"/>
      </w:pPr>
      <w:r>
        <w:t xml:space="preserve">4.4. Summary of Emissions by Scope</w:t>
      </w:r>
    </w:p>
    <w:bookmarkStart w:id="43" w:name="X17f831e3a1cf1ba878d567e679b93a528a5a7e6"/>
    <w:p>
      <w:pPr>
        <w:pStyle w:val="Heading4"/>
      </w:pPr>
      <w:r>
        <w:t xml:space="preserve">Table 2: Product Carbon Footprint Summary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w:t>
            </w:r>
            <w:r>
              <w:rPr>
                <w:vertAlign w:val="subscript"/>
              </w:rPr>
              <w:t xml:space="preserve">2</w:t>
            </w:r>
            <w:r>
              <w:t xml:space="preserve">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5.04</w:t>
            </w:r>
          </w:p>
        </w:tc>
      </w:tr>
      <w:tr>
        <w:tc>
          <w:tcPr>
            <w:vMerge w:val="restart"/>
          </w:tcPr>
          <w:p>
            <w:pPr>
              <w:pStyle w:val="Compact"/>
              <w:jc w:val="left"/>
            </w:pPr>
            <w:r>
              <w:t xml:space="preserve">Scope 3</w:t>
            </w:r>
          </w:p>
        </w:tc>
        <w:tc>
          <w:tcPr/>
          <w:p>
            <w:pPr>
              <w:pStyle w:val="Compact"/>
              <w:jc w:val="left"/>
            </w:pPr>
            <w:r>
              <w:t xml:space="preserve">Material Acquisition &amp; Production (Upstream)</w:t>
            </w:r>
          </w:p>
        </w:tc>
        <w:tc>
          <w:tcPr/>
          <w:p>
            <w:pPr>
              <w:pStyle w:val="Compact"/>
              <w:jc w:val="left"/>
            </w:pPr>
            <w:r>
              <w:t xml:space="preserve">24.16</w:t>
            </w:r>
          </w:p>
        </w:tc>
      </w:tr>
      <w:tr>
        <w:tc>
          <w:tcPr>
            <w:gridSpan w:val="1"/>
            <w:vMerge w:val="continue"/>
          </w:tcPr>
          <w:p>
            <w:pPr/>
          </w:p>
        </w:tc>
        <w:tc>
          <w:tcPr/>
          <w:p>
            <w:pPr>
              <w:pStyle w:val="Compact"/>
              <w:jc w:val="left"/>
            </w:pPr>
            <w:r>
              <w:t xml:space="preserve">Upstream Transportation (Materials &amp; Initial Product Distribution)</w:t>
            </w:r>
          </w:p>
        </w:tc>
        <w:tc>
          <w:tcPr/>
          <w:p>
            <w:pPr>
              <w:pStyle w:val="Compact"/>
              <w:jc w:val="left"/>
            </w:pPr>
            <w:r>
              <w:t xml:space="preserve">0.94</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14.20</w:t>
            </w:r>
          </w:p>
        </w:tc>
      </w:tr>
      <w:tr>
        <w:tc>
          <w:tcPr>
            <w:gridSpan w:val="1"/>
            <w:vMerge w:val="continue"/>
          </w:tcPr>
          <w:p>
            <w:pPr/>
          </w:p>
        </w:tc>
        <w:tc>
          <w:tcPr/>
          <w:p>
            <w:pPr>
              <w:pStyle w:val="Compact"/>
              <w:jc w:val="left"/>
            </w:pPr>
            <w:r>
              <w:t xml:space="preserve">Use Phase of Sold Products</w:t>
            </w:r>
          </w:p>
        </w:tc>
        <w:tc>
          <w:tcPr/>
          <w:p>
            <w:pPr>
              <w:pStyle w:val="Compact"/>
              <w:jc w:val="left"/>
            </w:pPr>
            <w:r>
              <w:t xml:space="preserve">18.00</w:t>
            </w:r>
          </w:p>
        </w:tc>
      </w:tr>
      <w:tr>
        <w:tc>
          <w:tcPr>
            <w:gridSpan w:val="1"/>
            <w:vMerge w:val="continue"/>
          </w:tcPr>
          <w:p>
            <w:pPr/>
          </w:p>
        </w:tc>
        <w:tc>
          <w:tcPr/>
          <w:p>
            <w:pPr>
              <w:pStyle w:val="Compact"/>
              <w:jc w:val="left"/>
            </w:pPr>
            <w:r>
              <w:t xml:space="preserve">End-of-Life Treatment (Credit)</w:t>
            </w:r>
          </w:p>
        </w:tc>
        <w:tc>
          <w:tcPr/>
          <w:p>
            <w:pPr>
              <w:pStyle w:val="Compact"/>
              <w:jc w:val="left"/>
            </w:pPr>
            <w:r>
              <w:t xml:space="preserve">-13.53</w:t>
            </w:r>
          </w:p>
        </w:tc>
      </w:tr>
      <w:tr>
        <w:tc>
          <w:tcPr>
            <w:gridSpan w:val="2"/>
          </w:tcPr>
          <w:p>
            <w:pPr>
              <w:pStyle w:val="Compact"/>
              <w:jc w:val="right"/>
            </w:pPr>
            <w:r>
              <w:t xml:space="preserve">Total Product Carbon Footprint (PCF):</w:t>
            </w:r>
          </w:p>
        </w:tc>
        <w:tc>
          <w:tcPr/>
          <w:p>
            <w:pPr>
              <w:pStyle w:val="Compact"/>
              <w:jc w:val="left"/>
            </w:pPr>
            <w:r>
              <w:t xml:space="preserve">48.81</w:t>
            </w:r>
          </w:p>
        </w:tc>
      </w:tr>
    </w:tbl>
    <w:p>
      <w:pPr>
        <w:pStyle w:val="BodyText"/>
      </w:pPr>
      <w:r>
        <w:t xml:space="preserve">*Note: Minor rounding differences may occur in totals.</w:t>
      </w:r>
    </w:p>
    <w:p>
      <w:r>
        <w:pict>
          <v:rect style="width:0;height:1.5pt" o:hralign="center" o:hrstd="t" o:hr="t"/>
        </w:pict>
      </w:r>
    </w:p>
    <w:bookmarkEnd w:id="43"/>
    <w:bookmarkEnd w:id="44"/>
    <w:bookmarkEnd w:id="45"/>
    <w:bookmarkStart w:id="48" w:name="review-and-reporting"/>
    <w:p>
      <w:pPr>
        <w:pStyle w:val="Heading2"/>
      </w:pPr>
      <w:r>
        <w:t xml:space="preserve">5. Review and Reporting</w:t>
      </w:r>
    </w:p>
    <w:bookmarkStart w:id="46" w:name="hotspot-analysis"/>
    <w:p>
      <w:pPr>
        <w:pStyle w:val="Heading3"/>
      </w:pPr>
      <w:r>
        <w:t xml:space="preserve">5.1. Hotspot Analysis</w:t>
      </w:r>
    </w:p>
    <w:p>
      <w:pPr>
        <w:pStyle w:val="FirstParagraph"/>
      </w:pPr>
      <w:r>
        <w:t xml:space="preserve">Based on the calculations, the primary emissions hotspots for uvpoqskmey are:</w:t>
      </w:r>
    </w:p>
    <w:p>
      <w:pPr>
        <w:numPr>
          <w:ilvl w:val="0"/>
          <w:numId w:val="1016"/>
        </w:numPr>
        <w:pStyle w:val="Compact"/>
      </w:pPr>
      <w:r>
        <w:rPr>
          <w:bCs/>
          <w:b/>
        </w:rPr>
        <w:t xml:space="preserve">Material Acquisition &amp; Production (Scope 3 Upstream):</w:t>
      </w:r>
      <w:r>
        <w:t xml:space="preserve"> </w:t>
      </w:r>
      <w:r>
        <w:t xml:space="preserve">24.16 kg CO</w:t>
      </w:r>
      <w:r>
        <w:rPr>
          <w:vertAlign w:val="subscript"/>
        </w:rPr>
        <w:t xml:space="preserve">2</w:t>
      </w:r>
      <w:r>
        <w:t xml:space="preserve">e, representing approximately 49.5% of the total footprint. This highlights the critical importance of material selection and supply chain decarbonization.</w:t>
      </w:r>
    </w:p>
    <w:p>
      <w:pPr>
        <w:numPr>
          <w:ilvl w:val="0"/>
          <w:numId w:val="1016"/>
        </w:numPr>
        <w:pStyle w:val="Compact"/>
      </w:pPr>
      <w:r>
        <w:rPr>
          <w:bCs/>
          <w:b/>
        </w:rPr>
        <w:t xml:space="preserve">Use Phase (Scope 3 Downstream):</w:t>
      </w:r>
      <w:r>
        <w:t xml:space="preserve"> </w:t>
      </w:r>
      <w:r>
        <w:t xml:space="preserve">18.00 kg CO</w:t>
      </w:r>
      <w:r>
        <w:rPr>
          <w:vertAlign w:val="subscript"/>
        </w:rPr>
        <w:t xml:space="preserve">2</w:t>
      </w:r>
      <w:r>
        <w:t xml:space="preserve">e, accounting for roughly 36.9% of the total footprint. The energy consumption during the product\'s lifespan is a significant contributor, emphasizing the need for energy-efficient design and user behavior.</w:t>
      </w:r>
    </w:p>
    <w:p>
      <w:pPr>
        <w:numPr>
          <w:ilvl w:val="0"/>
          <w:numId w:val="1016"/>
        </w:numPr>
        <w:pStyle w:val="Compact"/>
      </w:pPr>
      <w:r>
        <w:rPr>
          <w:bCs/>
          <w:b/>
        </w:rPr>
        <w:t xml:space="preserve">Last-Mile Delivery (Scope 3 Downstream):</w:t>
      </w:r>
      <w:r>
        <w:t xml:space="preserve"> </w:t>
      </w:r>
      <w:r>
        <w:t xml:space="preserve">14.20 kg CO</w:t>
      </w:r>
      <w:r>
        <w:rPr>
          <w:vertAlign w:val="subscript"/>
        </w:rPr>
        <w:t xml:space="preserve">2</w:t>
      </w:r>
      <w:r>
        <w:t xml:space="preserve">e, representing approximately 29.1% of the total footprint. This indicates that optimizing last-mile logistics and potentially switching to lower-emission delivery methods could yield substantial reductions.</w:t>
      </w:r>
    </w:p>
    <w:p>
      <w:pPr>
        <w:numPr>
          <w:ilvl w:val="0"/>
          <w:numId w:val="1016"/>
        </w:numPr>
        <w:pStyle w:val="Compact"/>
      </w:pPr>
      <w:r>
        <w:rPr>
          <w:bCs/>
          <w:b/>
        </w:rPr>
        <w:t xml:space="preserve">Production Energy (Scope 2):</w:t>
      </w:r>
      <w:r>
        <w:t xml:space="preserve"> </w:t>
      </w:r>
      <w:r>
        <w:t xml:space="preserve">5.04 kg CO</w:t>
      </w:r>
      <w:r>
        <w:rPr>
          <w:vertAlign w:val="subscript"/>
        </w:rPr>
        <w:t xml:space="preserve">2</w:t>
      </w:r>
      <w:r>
        <w:t xml:space="preserve">e, which is about 10.3% of the total footprint. Increasing renewable energy usage in manufacturing operations would further reduce this impact.</w:t>
      </w:r>
    </w:p>
    <w:p>
      <w:pPr>
        <w:pStyle w:val="FirstParagraph"/>
      </w:pPr>
      <w:r>
        <w:t xml:space="preserve">The circular/take-back programs and recyclability percentage provide a significant avoided emissions credit of -13.53 kg CO</w:t>
      </w:r>
      <w:r>
        <w:rPr>
          <w:vertAlign w:val="subscript"/>
        </w:rPr>
        <w:t xml:space="preserve">2</w:t>
      </w:r>
      <w:r>
        <w:t xml:space="preserve">e, reducing the overall impact. This demonstrates the positive contribution of circular economy strategies.</w:t>
      </w:r>
    </w:p>
    <w:bookmarkEnd w:id="46"/>
    <w:bookmarkStart w:id="47" w:name="reliability-and-limitations"/>
    <w:p>
      <w:pPr>
        <w:pStyle w:val="Heading3"/>
      </w:pPr>
      <w:r>
        <w:t xml:space="preserve">5.2. Reliability and Limitations</w:t>
      </w:r>
    </w:p>
    <w:p>
      <w:pPr>
        <w:pStyle w:val="FirstParagraph"/>
      </w:pPr>
      <w:r>
        <w:t xml:space="preserve">The reliability of this PCF analysis is high due to the use of specific BOM data and adherence to the GHG Protocol. However, certain limitations apply:</w:t>
      </w:r>
    </w:p>
    <w:p>
      <w:pPr>
        <w:numPr>
          <w:ilvl w:val="0"/>
          <w:numId w:val="1017"/>
        </w:numPr>
        <w:pStyle w:val="Compact"/>
      </w:pPr>
      <w:r>
        <w:rPr>
          <w:bCs/>
          <w:b/>
        </w:rPr>
        <w:t xml:space="preserve">Placeholder Assumptions:</w:t>
      </w:r>
      <w:r>
        <w:t xml:space="preserve"> </w:t>
      </w:r>
      <w:r>
        <w:t xml:space="preserve">Several generic parameters (e.g., Transport Mode, Transport Distance, Delivery Type, Energy Intensity, Lifespan, Consumption in Use, Recyclability) were translated into specific assumed values for calculation. While based on reasonable industry averages and context, primary data for these would enhance accuracy.</w:t>
      </w:r>
    </w:p>
    <w:p>
      <w:pPr>
        <w:numPr>
          <w:ilvl w:val="0"/>
          <w:numId w:val="1017"/>
        </w:numPr>
        <w:pStyle w:val="Compact"/>
      </w:pPr>
      <w:r>
        <w:rPr>
          <w:bCs/>
          <w:b/>
        </w:rPr>
        <w:t xml:space="preserve">Emission Factor Sources:</w:t>
      </w:r>
      <w:r>
        <w:t xml:space="preserve"> </w:t>
      </w:r>
      <w:r>
        <w:t xml:space="preserve">While industry-standard emission factors (e.g., from public databases and research) have been applied, regional and supplier-specific factors could provide greater precision.</w:t>
      </w:r>
    </w:p>
    <w:p>
      <w:pPr>
        <w:numPr>
          <w:ilvl w:val="0"/>
          <w:numId w:val="1017"/>
        </w:numPr>
        <w:pStyle w:val="Compact"/>
      </w:pPr>
      <w:r>
        <w:rPr>
          <w:bCs/>
          <w:b/>
        </w:rPr>
        <w:t xml:space="preserve">LSR Standard Implementation:</w:t>
      </w:r>
      <w:r>
        <w:t xml:space="preserve"> </w:t>
      </w:r>
      <w:r>
        <w:t xml:space="preserve">Specific land-use change data was not provided for raw materials, so the impact of the 2026 LSR Standard is primarily acknowledged through its upcoming requirements and the assumption that general material emission factors implicitly include some land-related impacts. Further detailed assessment would require specific land-use inventories.</w:t>
      </w:r>
    </w:p>
    <w:p>
      <w:pPr>
        <w:numPr>
          <w:ilvl w:val="0"/>
          <w:numId w:val="1017"/>
        </w:numPr>
        <w:pStyle w:val="Compact"/>
      </w:pPr>
      <w:r>
        <w:rPr>
          <w:bCs/>
          <w:b/>
        </w:rPr>
        <w:t xml:space="preserve">Dynamic Context:</w:t>
      </w:r>
      <w:r>
        <w:t xml:space="preserve"> </w:t>
      </w:r>
      <w:r>
        <w:t xml:space="preserve">Emission factors, especially for electricity grids, are dynamic and subject to continuous change due to evolving energy mixes and policy. The factors used represent the best available estimates for the specified periods.</w:t>
      </w:r>
    </w:p>
    <w:p>
      <w:r>
        <w:pict>
          <v:rect style="width:0;height:1.5pt" o:hralign="center" o:hrstd="t" o:hr="t"/>
        </w:pict>
      </w:r>
    </w:p>
    <w:bookmarkEnd w:id="47"/>
    <w:bookmarkEnd w:id="48"/>
    <w:bookmarkStart w:id="49" w:name="recommendations-for-impact-reduction"/>
    <w:p>
      <w:pPr>
        <w:pStyle w:val="Heading2"/>
      </w:pPr>
      <w:r>
        <w:t xml:space="preserve">6. Recommendations for Impact Reduction</w:t>
      </w:r>
    </w:p>
    <w:p>
      <w:pPr>
        <w:pStyle w:val="FirstParagraph"/>
      </w:pPr>
      <w:r>
        <w:t xml:space="preserve">To further reduce the product carbon footprint of uvpoqskmey, tmryyxeerk should consider the following:</w:t>
      </w:r>
    </w:p>
    <w:p>
      <w:pPr>
        <w:numPr>
          <w:ilvl w:val="0"/>
          <w:numId w:val="1018"/>
        </w:numPr>
        <w:pStyle w:val="Compact"/>
      </w:pPr>
      <w:r>
        <w:rPr>
          <w:bCs/>
          <w:b/>
        </w:rPr>
        <w:t xml:space="preserve">Material Optimization:</w:t>
      </w:r>
      <w:r>
        <w:t xml:space="preserve"> </w:t>
      </w:r>
      <w:r>
        <w:t xml:space="preserve">Investigate alternative materials with lower cradle-to-gate emissions, focusing on the high-impact materials identified in the BOM. Engage with suppliers to gain more primary data on their production processes.</w:t>
      </w:r>
    </w:p>
    <w:p>
      <w:pPr>
        <w:numPr>
          <w:ilvl w:val="0"/>
          <w:numId w:val="1018"/>
        </w:numPr>
        <w:pStyle w:val="Compact"/>
      </w:pPr>
      <w:r>
        <w:rPr>
          <w:bCs/>
          <w:b/>
        </w:rPr>
        <w:t xml:space="preserve">Energy Efficiency in Use:</w:t>
      </w:r>
      <w:r>
        <w:t xml:space="preserve"> </w:t>
      </w:r>
      <w:r>
        <w:t xml:space="preserve">Explore design improvements to reduce the product\'s energy consumption during its lifespan. Provide users with guidance on energy-efficient usage.</w:t>
      </w:r>
    </w:p>
    <w:p>
      <w:pPr>
        <w:numPr>
          <w:ilvl w:val="0"/>
          <w:numId w:val="1018"/>
        </w:numPr>
        <w:pStyle w:val="Compact"/>
      </w:pPr>
      <w:r>
        <w:rPr>
          <w:bCs/>
          <w:b/>
        </w:rPr>
        <w:t xml:space="preserve">Logistics Decarbonization:</w:t>
      </w:r>
      <w:r>
        <w:t xml:space="preserve"> </w:t>
      </w:r>
      <w:r>
        <w:t xml:space="preserve">Optimize transport routes, explore multimodal transport options, and engage with logistics providers committed to low-carbon solutions, especially for last-mile delivery.</w:t>
      </w:r>
    </w:p>
    <w:p>
      <w:pPr>
        <w:numPr>
          <w:ilvl w:val="0"/>
          <w:numId w:val="1018"/>
        </w:numPr>
        <w:pStyle w:val="Compact"/>
      </w:pPr>
      <w:r>
        <w:rPr>
          <w:bCs/>
          <w:b/>
        </w:rPr>
        <w:t xml:space="preserve">Renewable Energy Procurement:</w:t>
      </w:r>
      <w:r>
        <w:t xml:space="preserve"> </w:t>
      </w:r>
      <w:r>
        <w:t xml:space="preserve">Increase the percentage of renewable energy used in the manufacturing facility (Scope 2) and encourage suppliers to do the same (Scope 3).</w:t>
      </w:r>
    </w:p>
    <w:p>
      <w:pPr>
        <w:numPr>
          <w:ilvl w:val="0"/>
          <w:numId w:val="1018"/>
        </w:numPr>
        <w:pStyle w:val="Compact"/>
      </w:pPr>
      <w:r>
        <w:rPr>
          <w:bCs/>
          <w:b/>
        </w:rPr>
        <w:t xml:space="preserve">Enhance Circularity:</w:t>
      </w:r>
      <w:r>
        <w:t xml:space="preserve"> </w:t>
      </w:r>
      <w:r>
        <w:t xml:space="preserve">Expand and promote the existing circular/take-back programs (jtfyqeymhi) to maximize material recovery and recycling rates (jftsvozvkm), further increasing avoided emissions.</w:t>
      </w:r>
    </w:p>
    <w:p>
      <w:r>
        <w:pict>
          <v:rect style="width:0;height:1.5pt" o:hralign="center" o:hrstd="t" o:hr="t"/>
        </w:pict>
      </w:r>
    </w:p>
    <w:p>
      <w:pPr>
        <w:pStyle w:val="FirstParagraph"/>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uvpoqskmey</dc:title>
  <dc:creator/>
  <dc:description>Detailed Product Carbon Footprint (PCF) analysis report for uvpoqskmey, conducted by reimwwktvv for tmryyxeerk, adhering to GHG Protocol standards and 2026 updates for land sector and Scope 3 emissions.</dc:description>
  <dc:language>en</dc:language>
  <cp:keywords/>
  <dcterms:created xsi:type="dcterms:W3CDTF">2026-07-15T16:34:46Z</dcterms:created>
  <dcterms:modified xsi:type="dcterms:W3CDTF">2026-07-15T16:34:46Z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