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uvnwnhnrun</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uvnwnhnrun</w:t>
      </w:r>
    </w:p>
    <w:p>
      <w:pPr>
        <w:pStyle w:val="BodyText"/>
      </w:pPr>
      <w:r>
        <w:rPr>
          <w:bCs/>
          <w:b/>
        </w:rPr>
        <w:t xml:space="preserve">Company:</w:t>
      </w:r>
      <w:r>
        <w:t xml:space="preserve"> </w:t>
      </w:r>
      <w:r>
        <w:t xml:space="preserve">emljkgfdqm</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fhgjvxpxpm</w:t>
      </w:r>
    </w:p>
    <w:p>
      <w:pPr>
        <w:pStyle w:val="BodyText"/>
      </w:pPr>
      <w:r>
        <w:t xml:space="preserve">Disclaimer: This report is generated based on available data and industry standards. While efforts are made for accuracy, actual emissions may vary.</w:t>
      </w:r>
    </w:p>
    <w:bookmarkEnd w:id="20"/>
    <w:bookmarkStart w:id="21" w:name="X5ab350a1682bcac60cdf9b2ed3bf571820c6aa7"/>
    <w:p>
      <w:pPr>
        <w:pStyle w:val="Heading1"/>
      </w:pPr>
      <w:r>
        <w:t xml:space="preserve">Product Carbon Footprint (PCF) Analysis Report for uvnwnhnrun</w:t>
      </w:r>
    </w:p>
    <w:p>
      <w:pPr>
        <w:pStyle w:val="FirstParagraph"/>
      </w:pPr>
      <w:r>
        <w:t xml:space="preserve">Generated Date: May 18,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uvnwnhnrun manufactured by emljkgfdqm. The assessment follows the Greenhouse Gas (GHG) Protocol standards, incorporating the 2026 Land Sector and Removals (LSR) update and ensuring robust Scope 3 compliance. The analysis provides a comprehensive understanding of the product\'s environmental impact across its lifecycle, from raw material extraction through manufacturing, distribution, use, and end-of-life. Key emission hotspots are identified, offering strategic insights for sustainability improvements.</w:t>
      </w:r>
    </w:p>
    <w:p>
      <w:r>
        <w:pict>
          <v:rect style="width:0;height:1.5pt" o:hralign="center" o:hrstd="t" o:hr="t"/>
        </w:pict>
      </w:r>
    </w:p>
    <w:bookmarkEnd w:id="22"/>
    <w:bookmarkStart w:id="25" w:name="methodology-and-scope-definition"/>
    <w:p>
      <w:pPr>
        <w:pStyle w:val="Heading2"/>
      </w:pPr>
      <w:r>
        <w:t xml:space="preserve">1. Methodology and Scope Definition</w:t>
      </w:r>
    </w:p>
    <w:p>
      <w:pPr>
        <w:pStyle w:val="FirstParagraph"/>
      </w:pPr>
      <w:r>
        <w:t xml:space="preserve">The Product Carbon Footprint (PCF) analysis for uvnwnhnrun adheres to the five-step methodology prescribed by the GHG Protocol. This approach ensures a systematic and transparent assessment of greenhouse gas emissions throughout the product\'s lifecycle.</w:t>
      </w:r>
    </w:p>
    <w:bookmarkStart w:id="23" w:name="X25ab271e0b973df754491ec5ddcb2d245f47eaf"/>
    <w:p>
      <w:pPr>
        <w:pStyle w:val="Heading3"/>
      </w:pPr>
      <w:r>
        <w:t xml:space="preserve">1.1. GHG Protocol Adherence and 2026 LSR Update</w:t>
      </w:r>
    </w:p>
    <w:p>
      <w:pPr>
        <w:numPr>
          <w:ilvl w:val="0"/>
          <w:numId w:val="1001"/>
        </w:numPr>
        <w:pStyle w:val="Compact"/>
      </w:pPr>
      <w:r>
        <w:rPr>
          <w:bCs/>
          <w:b/>
        </w:rPr>
        <w:t xml:space="preserve">Accounting Standard:</w:t>
      </w:r>
      <w:r>
        <w:t xml:space="preserve"> </w:t>
      </w:r>
      <w:r>
        <w:t xml:space="preserve">GHG Protocol. This standard categorizes emissions into Scope 1 (direct emissions), Scope 2 (indirect emissions from purchased energy), and Scope 3 (all other indirect emissions in the value chain).</w:t>
      </w:r>
    </w:p>
    <w:p>
      <w:pPr>
        <w:numPr>
          <w:ilvl w:val="0"/>
          <w:numId w:val="1001"/>
        </w:numPr>
        <w:pStyle w:val="Compact"/>
      </w:pPr>
      <w:r>
        <w:rPr>
          <w:bCs/>
          <w:b/>
        </w:rPr>
        <w:t xml:space="preserve">2026 LSR Update:</w:t>
      </w:r>
      <w:r>
        <w:t xml:space="preserve"> </w:t>
      </w:r>
      <w:r>
        <w:t xml:space="preserve">The analysis applies the Land Sector and Removals (LSR) Standard to account for land use and carbon removals, integrating them where relevant into the lifecycle inventory.</w:t>
      </w:r>
    </w:p>
    <w:p>
      <w:pPr>
        <w:numPr>
          <w:ilvl w:val="0"/>
          <w:numId w:val="1001"/>
        </w:numPr>
        <w:pStyle w:val="Compact"/>
      </w:pPr>
      <w:r>
        <w:rPr>
          <w:bCs/>
          <w:b/>
        </w:rPr>
        <w:t xml:space="preserve">Scope 3 Compliance:</w:t>
      </w:r>
      <w:r>
        <w:t xml:space="preserve"> </w:t>
      </w:r>
      <w:r>
        <w:t xml:space="preserve">A significant effort has been made to ensure at least 95% coverage for Scope 3 reporting, in line with 2026 requirements, providing a holistic view of value chain emissions.</w:t>
      </w:r>
    </w:p>
    <w:bookmarkEnd w:id="23"/>
    <w:bookmarkStart w:id="24" w:name="defined-parameters-and-scope"/>
    <w:p>
      <w:pPr>
        <w:pStyle w:val="Heading3"/>
      </w:pPr>
      <w:r>
        <w:t xml:space="preserve">1.2. Defined Parameters and Scope</w:t>
      </w:r>
    </w:p>
    <w:p>
      <w:pPr>
        <w:numPr>
          <w:ilvl w:val="0"/>
          <w:numId w:val="1002"/>
        </w:numPr>
        <w:pStyle w:val="Compact"/>
      </w:pPr>
      <w:r>
        <w:rPr>
          <w:bCs/>
          <w:b/>
        </w:rPr>
        <w:t xml:space="preserve">Functional Unit:</w:t>
      </w:r>
      <w:r>
        <w:t xml:space="preserve"> </w:t>
      </w:r>
      <w:r>
        <w:t xml:space="preserve">1.0 unit of uvnwnhnrun.</w:t>
      </w:r>
    </w:p>
    <w:p>
      <w:pPr>
        <w:numPr>
          <w:ilvl w:val="0"/>
          <w:numId w:val="1002"/>
        </w:numPr>
        <w:pStyle w:val="Compact"/>
      </w:pPr>
      <w:r>
        <w:rPr>
          <w:bCs/>
          <w:b/>
        </w:rPr>
        <w:t xml:space="preserve">System Boundary:</w:t>
      </w:r>
      <w:r>
        <w:t xml:space="preserve"> </w:t>
      </w:r>
      <w:r>
        <w:t xml:space="preserve">While the primary focus for the core PCF aligns with a \'factory_gate\' boundary, this report extends beyond to a Cradle-to-Grave analysis to encompass explicitly requested use-phase and end-of-life scenarios, providing a comprehensive lifecycle perspective.</w:t>
      </w:r>
    </w:p>
    <w:p>
      <w:pPr>
        <w:numPr>
          <w:ilvl w:val="0"/>
          <w:numId w:val="1002"/>
        </w:numPr>
        <w:pStyle w:val="Compact"/>
      </w:pPr>
      <w:r>
        <w:rPr>
          <w:bCs/>
          <w:b/>
        </w:rPr>
        <w:t xml:space="preserve">Geographic Scope:</w:t>
      </w:r>
      <w:r>
        <w:t xml:space="preserve"> </w:t>
      </w:r>
      <w:r>
        <w:t xml:space="preserve">Final Production Country: China; Supply Chain Focus: Europe Focused (implying significant transport within/to/from Europe).</w:t>
      </w:r>
    </w:p>
    <w:p>
      <w:pPr>
        <w:numPr>
          <w:ilvl w:val="0"/>
          <w:numId w:val="1002"/>
        </w:numPr>
        <w:pStyle w:val="Compact"/>
      </w:pPr>
      <w:r>
        <w:rPr>
          <w:bCs/>
          <w:b/>
        </w:rPr>
        <w:t xml:space="preserve">Allocation:</w:t>
      </w:r>
      <w:r>
        <w:t xml:space="preserve"> </w:t>
      </w:r>
      <w:r>
        <w:t xml:space="preserve">Mass-based allocation is primarily used for shared processes and transport where applicable, ensuring fairness in emission distribution.</w:t>
      </w:r>
    </w:p>
    <w:p>
      <w:r>
        <w:pict>
          <v:rect style="width:0;height:1.5pt" o:hralign="center" o:hrstd="t" o:hr="t"/>
        </w:pict>
      </w:r>
    </w:p>
    <w:bookmarkEnd w:id="24"/>
    <w:bookmarkEnd w:id="25"/>
    <w:bookmarkStart w:id="26" w:name="lifecycle-mapping-lci-inventory-stages"/>
    <w:p>
      <w:pPr>
        <w:pStyle w:val="Heading2"/>
      </w:pPr>
      <w:r>
        <w:t xml:space="preserve">2. Lifecycle Mapping (LCI Inventory Stages)</w:t>
      </w:r>
    </w:p>
    <w:p>
      <w:pPr>
        <w:pStyle w:val="FirstParagraph"/>
      </w:pPr>
      <w:r>
        <w:t xml:space="preserve">The lifecycle of uvnwnhnrun has been mapped into the following stages, facilitating the collection of relevant data and the calculation of associated emissions.</w:t>
      </w:r>
    </w:p>
    <w:p>
      <w:pPr>
        <w:numPr>
          <w:ilvl w:val="0"/>
          <w:numId w:val="1003"/>
        </w:numPr>
        <w:pStyle w:val="Compact"/>
      </w:pPr>
      <w:r>
        <w:rPr>
          <w:bCs/>
          <w:b/>
        </w:rPr>
        <w:t xml:space="preserve">Raw Material Acquisition &amp; Pre-processing (Upstream - Scope 3):</w:t>
      </w:r>
      <w:r>
        <w:t xml:space="preserve"> </w:t>
      </w:r>
      <w:r>
        <w:t xml:space="preserve">Extraction, processing, and manufacturing of all input materials specified in the Detailed Bill of Materials (BOM).</w:t>
      </w:r>
    </w:p>
    <w:p>
      <w:pPr>
        <w:numPr>
          <w:ilvl w:val="0"/>
          <w:numId w:val="1003"/>
        </w:numPr>
        <w:pStyle w:val="Compact"/>
      </w:pPr>
      <w:r>
        <w:rPr>
          <w:bCs/>
          <w:b/>
        </w:rPr>
        <w:t xml:space="preserve">Manufacturing (Core - Scope 1 &amp; 2):</w:t>
      </w:r>
      <w:r>
        <w:t xml:space="preserve"> </w:t>
      </w:r>
      <w:r>
        <w:t xml:space="preserve">Production activities at emljkgfdqm\'s facilities in China, including energy consumption and direct operational emissions.</w:t>
      </w:r>
    </w:p>
    <w:p>
      <w:pPr>
        <w:numPr>
          <w:ilvl w:val="0"/>
          <w:numId w:val="1003"/>
        </w:numPr>
        <w:pStyle w:val="Compact"/>
      </w:pPr>
      <w:r>
        <w:rPr>
          <w:bCs/>
          <w:b/>
        </w:rPr>
        <w:t xml:space="preserve">Transport &amp; Distribution (Upstream &amp; Downstream - Scope 3):</w:t>
      </w:r>
      <w:r>
        <w:t xml:space="preserve"> </w:t>
      </w:r>
      <w:r>
        <w:t xml:space="preserve">All logistics involved in moving raw materials to the factory, and finished products from the factory gate through to the final customer.</w:t>
      </w:r>
    </w:p>
    <w:p>
      <w:pPr>
        <w:numPr>
          <w:ilvl w:val="0"/>
          <w:numId w:val="1003"/>
        </w:numPr>
        <w:pStyle w:val="Compact"/>
      </w:pPr>
      <w:r>
        <w:rPr>
          <w:bCs/>
          <w:b/>
        </w:rPr>
        <w:t xml:space="preserve">Use Phase (Downstream - Scope 3):</w:t>
      </w:r>
      <w:r>
        <w:t xml:space="preserve"> </w:t>
      </w:r>
      <w:r>
        <w:t xml:space="preserve">Energy consumption and associated emissions during the product\'s typical lifespan.</w:t>
      </w:r>
    </w:p>
    <w:p>
      <w:pPr>
        <w:numPr>
          <w:ilvl w:val="0"/>
          <w:numId w:val="1003"/>
        </w:numPr>
        <w:pStyle w:val="Compact"/>
      </w:pPr>
      <w:r>
        <w:rPr>
          <w:bCs/>
          <w:b/>
        </w:rPr>
        <w:t xml:space="preserve">End-of-Life (Downstream - Scope 3):</w:t>
      </w:r>
      <w:r>
        <w:t xml:space="preserve"> </w:t>
      </w:r>
      <w:r>
        <w:t xml:space="preserve">Management of the product at the end of its life, including recycling, disposal, and associated impacts/benefits.</w:t>
      </w:r>
    </w:p>
    <w:p>
      <w:r>
        <w:pict>
          <v:rect style="width:0;height:1.5pt" o:hralign="center" o:hrstd="t" o:hr="t"/>
        </w:pict>
      </w:r>
    </w:p>
    <w:bookmarkEnd w:id="26"/>
    <w:bookmarkStart w:id="32" w:name="X7b6d01ce7b6bfe45f00681616505557cddf238f"/>
    <w:p>
      <w:pPr>
        <w:pStyle w:val="Heading2"/>
      </w:pPr>
      <w:r>
        <w:t xml:space="preserve">3. Data Collection (Primary/Secondary Data Points)</w:t>
      </w:r>
    </w:p>
    <w:p>
      <w:pPr>
        <w:pStyle w:val="FirstParagraph"/>
      </w:pPr>
      <w:r>
        <w:t xml:space="preserve">Data was collected using a combination of primary company-specific data and secondary industry-average emission factors.</w:t>
      </w:r>
    </w:p>
    <w:bookmarkStart w:id="27" w:name="X83e35d5514b6de5e3d2ccfe281757f63c8e4487"/>
    <w:p>
      <w:pPr>
        <w:pStyle w:val="Heading3"/>
      </w:pPr>
      <w:r>
        <w:t xml:space="preserve">3.1. Detailed Bill of Materials (BOM) for uvnwnhnrun</w:t>
      </w:r>
    </w:p>
    <w:p>
      <w:pPr>
        <w:pStyle w:val="FirstParagraph"/>
      </w:pPr>
      <w:r>
        <w:t xml:space="preserve">The following Bill of Materials (BOM) was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r>
        <w:tc>
          <w:tcPr>
            <w:gridSpan w:val="6"/>
          </w:tcPr>
          <w:p>
            <w:pPr>
              <w:pStyle w:val="Compact"/>
              <w:jc w:val="right"/>
            </w:pPr>
            <w:r>
              <w:rPr>
                <w:bCs/>
                <w:b/>
              </w:rPr>
              <w:t xml:space="preserve">Total Material Mass:</w:t>
            </w:r>
          </w:p>
        </w:tc>
        <w:tc>
          <w:tcPr/>
          <w:p>
            <w:pPr>
              <w:pStyle w:val="Compact"/>
              <w:jc w:val="left"/>
            </w:pPr>
            <w:r>
              <w:rPr>
                <w:bCs/>
                <w:b/>
              </w:rPr>
              <w:t xml:space="preserve">1.15 kg</w:t>
            </w:r>
          </w:p>
        </w:tc>
        <w:tc>
          <w:tcPr/>
          <w:p>
            <w:pPr>
              <w:pStyle w:val="Compact"/>
              <w:jc w:val="left"/>
            </w:pPr>
            <w:r>
              <w:rPr>
                <w:bCs/>
                <w:b/>
              </w:rPr>
              <w:t xml:space="preserve">8.05 kgCO2e</w:t>
            </w:r>
          </w:p>
        </w:tc>
      </w:tr>
    </w:tbl>
    <w:bookmarkEnd w:id="27"/>
    <w:bookmarkStart w:id="28" w:name="energy-inputs-and-customization"/>
    <w:p>
      <w:pPr>
        <w:pStyle w:val="Heading3"/>
      </w:pPr>
      <w:r>
        <w:t xml:space="preserve">3.2. Energy Inputs and Customization</w:t>
      </w:r>
    </w:p>
    <w:p>
      <w:pPr>
        <w:numPr>
          <w:ilvl w:val="0"/>
          <w:numId w:val="1004"/>
        </w:numPr>
        <w:pStyle w:val="Compact"/>
      </w:pPr>
      <w:r>
        <w:rPr>
          <w:bCs/>
          <w:b/>
        </w:rPr>
        <w:t xml:space="preserve">Energy Intensity (Production):</w:t>
      </w:r>
      <w:r>
        <w:t xml:space="preserve"> </w:t>
      </w:r>
      <w:r>
        <w:t xml:space="preserve">15 kWh/unit (kdsxjhnhos)</w:t>
      </w:r>
    </w:p>
    <w:p>
      <w:pPr>
        <w:numPr>
          <w:ilvl w:val="0"/>
          <w:numId w:val="1004"/>
        </w:numPr>
        <w:pStyle w:val="Compact"/>
      </w:pPr>
      <w:r>
        <w:rPr>
          <w:bCs/>
          <w:b/>
        </w:rPr>
        <w:t xml:space="preserve">Renewable Energy Usage (Production):</w:t>
      </w:r>
      <w:r>
        <w:t xml:space="preserve"> </w:t>
      </w:r>
      <w:r>
        <w:t xml:space="preserve">70% (qqrehpofzr)</w:t>
      </w:r>
    </w:p>
    <w:p>
      <w:pPr>
        <w:numPr>
          <w:ilvl w:val="0"/>
          <w:numId w:val="1004"/>
        </w:numPr>
        <w:pStyle w:val="Compact"/>
      </w:pPr>
      <w:r>
        <w:rPr>
          <w:bCs/>
          <w:b/>
        </w:rPr>
        <w:t xml:space="preserve">Estimated Grid Emission Factor (China):</w:t>
      </w:r>
      <w:r>
        <w:t xml:space="preserve"> </w:t>
      </w:r>
      <w:r>
        <w:t xml:space="preserve">0.6 kgCO2e/kWh (Industry Average, e.g., IEA data)</w:t>
      </w:r>
    </w:p>
    <w:bookmarkEnd w:id="28"/>
    <w:bookmarkStart w:id="29" w:name="logistics-data"/>
    <w:p>
      <w:pPr>
        <w:pStyle w:val="Heading3"/>
      </w:pPr>
      <w:r>
        <w:t xml:space="preserve">3.3. Logistics Data</w:t>
      </w:r>
    </w:p>
    <w:p>
      <w:pPr>
        <w:numPr>
          <w:ilvl w:val="0"/>
          <w:numId w:val="1005"/>
        </w:numPr>
        <w:pStyle w:val="Compact"/>
      </w:pPr>
      <w:r>
        <w:rPr>
          <w:bCs/>
          <w:b/>
        </w:rPr>
        <w:t xml:space="preserve">Transport Mode (Inbound/Inter-facility):</w:t>
      </w:r>
      <w:r>
        <w:t xml:space="preserve"> </w:t>
      </w:r>
      <w:r>
        <w:t xml:space="preserve">Road freight (Heavy duty truck)</w:t>
      </w:r>
    </w:p>
    <w:p>
      <w:pPr>
        <w:numPr>
          <w:ilvl w:val="0"/>
          <w:numId w:val="1005"/>
        </w:numPr>
        <w:pStyle w:val="Compact"/>
      </w:pPr>
      <w:r>
        <w:rPr>
          <w:bCs/>
          <w:b/>
        </w:rPr>
        <w:t xml:space="preserve">Transport Distance (Inbound Raw Materials, average):</w:t>
      </w:r>
      <w:r>
        <w:t xml:space="preserve"> </w:t>
      </w:r>
      <w:r>
        <w:t xml:space="preserve">1,000 km (estimated)</w:t>
      </w:r>
    </w:p>
    <w:p>
      <w:pPr>
        <w:numPr>
          <w:ilvl w:val="0"/>
          <w:numId w:val="1005"/>
        </w:numPr>
        <w:pStyle w:val="Compact"/>
      </w:pPr>
      <w:r>
        <w:rPr>
          <w:bCs/>
          <w:b/>
        </w:rPr>
        <w:t xml:space="preserve">Transport Mode (Main Leg from China to Europe):</w:t>
      </w:r>
      <w:r>
        <w:t xml:space="preserve"> </w:t>
      </w:r>
      <w:r>
        <w:t xml:space="preserve">Sea freight (Container vessel)</w:t>
      </w:r>
    </w:p>
    <w:p>
      <w:pPr>
        <w:numPr>
          <w:ilvl w:val="0"/>
          <w:numId w:val="1005"/>
        </w:numPr>
        <w:pStyle w:val="Compact"/>
      </w:pPr>
      <w:r>
        <w:rPr>
          <w:bCs/>
          <w:b/>
        </w:rPr>
        <w:t xml:space="preserve">Transport Distance (Main Leg):</w:t>
      </w:r>
      <w:r>
        <w:t xml:space="preserve"> </w:t>
      </w:r>
      <w:r>
        <w:t xml:space="preserve">15,000 km (estimated: ezwhvqxdkx)</w:t>
      </w:r>
    </w:p>
    <w:p>
      <w:pPr>
        <w:numPr>
          <w:ilvl w:val="0"/>
          <w:numId w:val="1005"/>
        </w:numPr>
        <w:pStyle w:val="Compact"/>
      </w:pPr>
      <w:r>
        <w:rPr>
          <w:bCs/>
          <w:b/>
        </w:rPr>
        <w:t xml:space="preserve">Transport Mode (Distribution within Europe):</w:t>
      </w:r>
      <w:r>
        <w:t xml:space="preserve"> </w:t>
      </w:r>
      <w:r>
        <w:t xml:space="preserve">Road freight (Heavy duty truck)</w:t>
      </w:r>
    </w:p>
    <w:p>
      <w:pPr>
        <w:numPr>
          <w:ilvl w:val="0"/>
          <w:numId w:val="1005"/>
        </w:numPr>
        <w:pStyle w:val="Compact"/>
      </w:pPr>
      <w:r>
        <w:rPr>
          <w:bCs/>
          <w:b/>
        </w:rPr>
        <w:t xml:space="preserve">Transport Distance (Distribution):</w:t>
      </w:r>
      <w:r>
        <w:t xml:space="preserve"> </w:t>
      </w:r>
      <w:r>
        <w:t xml:space="preserve">800 km (estimated)</w:t>
      </w:r>
    </w:p>
    <w:p>
      <w:pPr>
        <w:numPr>
          <w:ilvl w:val="0"/>
          <w:numId w:val="1005"/>
        </w:numPr>
        <w:pStyle w:val="Compact"/>
      </w:pPr>
      <w:r>
        <w:rPr>
          <w:bCs/>
          <w:b/>
        </w:rPr>
        <w:t xml:space="preserve">Last-Mile Delivery Channel:</w:t>
      </w:r>
      <w:r>
        <w:t xml:space="preserve"> </w:t>
      </w:r>
      <w:r>
        <w:t xml:space="preserve">Parcel van (Delivery Type)</w:t>
      </w:r>
    </w:p>
    <w:p>
      <w:pPr>
        <w:numPr>
          <w:ilvl w:val="0"/>
          <w:numId w:val="1005"/>
        </w:numPr>
        <w:pStyle w:val="Compact"/>
      </w:pPr>
      <w:r>
        <w:rPr>
          <w:bCs/>
          <w:b/>
        </w:rPr>
        <w:t xml:space="preserve">Last-Mile Delivery Distance:</w:t>
      </w:r>
      <w:r>
        <w:t xml:space="preserve"> </w:t>
      </w:r>
      <w:r>
        <w:t xml:space="preserve">50 km (estimated)</w:t>
      </w:r>
    </w:p>
    <w:p>
      <w:pPr>
        <w:numPr>
          <w:ilvl w:val="0"/>
          <w:numId w:val="1005"/>
        </w:numPr>
        <w:pStyle w:val="Compact"/>
      </w:pPr>
      <w:r>
        <w:rPr>
          <w:bCs/>
          <w:b/>
        </w:rPr>
        <w:t xml:space="preserve">Product Mass for Transport:</w:t>
      </w:r>
      <w:r>
        <w:t xml:space="preserve"> </w:t>
      </w:r>
      <w:r>
        <w:t xml:space="preserve">1.15 kg/unit</w:t>
      </w:r>
    </w:p>
    <w:p>
      <w:pPr>
        <w:numPr>
          <w:ilvl w:val="0"/>
          <w:numId w:val="1005"/>
        </w:numPr>
        <w:pStyle w:val="Compact"/>
      </w:pPr>
      <w:r>
        <w:rPr>
          <w:bCs/>
          <w:b/>
        </w:rPr>
        <w:t xml:space="preserve">Estimated Emission Factors:</w:t>
      </w:r>
    </w:p>
    <w:p>
      <w:pPr>
        <w:numPr>
          <w:ilvl w:val="1"/>
          <w:numId w:val="1006"/>
        </w:numPr>
        <w:pStyle w:val="Compact"/>
      </w:pPr>
      <w:r>
        <w:t xml:space="preserve">Road freight (heavy duty truck): 0.08 kgCO2e/tkm (e.g., DEFRA, Ecoinvent)</w:t>
      </w:r>
    </w:p>
    <w:p>
      <w:pPr>
        <w:numPr>
          <w:ilvl w:val="1"/>
          <w:numId w:val="1006"/>
        </w:numPr>
        <w:pStyle w:val="Compact"/>
      </w:pPr>
      <w:r>
        <w:t xml:space="preserve">Sea freight (container vessel): 0.01 kgCO2e/tkm (e.g., DEFRA, Ecoinvent)</w:t>
      </w:r>
    </w:p>
    <w:p>
      <w:pPr>
        <w:numPr>
          <w:ilvl w:val="1"/>
          <w:numId w:val="1006"/>
        </w:numPr>
        <w:pStyle w:val="Compact"/>
      </w:pPr>
      <w:r>
        <w:t xml:space="preserve">Parcel van: 0.15 kgCO2e/tkm (e.g., DEFRA, Ecoinvent)</w:t>
      </w:r>
    </w:p>
    <w:bookmarkEnd w:id="29"/>
    <w:bookmarkStart w:id="30" w:name="use-phase-data"/>
    <w:p>
      <w:pPr>
        <w:pStyle w:val="Heading3"/>
      </w:pPr>
      <w:r>
        <w:t xml:space="preserve">3.4. Use Phase Data</w:t>
      </w:r>
    </w:p>
    <w:p>
      <w:pPr>
        <w:numPr>
          <w:ilvl w:val="0"/>
          <w:numId w:val="1007"/>
        </w:numPr>
        <w:pStyle w:val="Compact"/>
      </w:pPr>
      <w:r>
        <w:rPr>
          <w:bCs/>
          <w:b/>
        </w:rPr>
        <w:t xml:space="preserve">Product Lifespan:</w:t>
      </w:r>
      <w:r>
        <w:t xml:space="preserve"> </w:t>
      </w:r>
      <w:r>
        <w:t xml:space="preserve">5 years (jsrimywlux)</w:t>
      </w:r>
    </w:p>
    <w:p>
      <w:pPr>
        <w:numPr>
          <w:ilvl w:val="0"/>
          <w:numId w:val="1007"/>
        </w:numPr>
        <w:pStyle w:val="Compact"/>
      </w:pPr>
      <w:r>
        <w:rPr>
          <w:bCs/>
          <w:b/>
        </w:rPr>
        <w:t xml:space="preserve">Energy Consumption in Use:</w:t>
      </w:r>
      <w:r>
        <w:t xml:space="preserve"> </w:t>
      </w:r>
      <w:r>
        <w:t xml:space="preserve">100 kWh/year (lvziytjwvi)</w:t>
      </w:r>
    </w:p>
    <w:p>
      <w:pPr>
        <w:numPr>
          <w:ilvl w:val="0"/>
          <w:numId w:val="1007"/>
        </w:numPr>
        <w:pStyle w:val="Compact"/>
      </w:pPr>
      <w:r>
        <w:rPr>
          <w:bCs/>
          <w:b/>
        </w:rPr>
        <w:t xml:space="preserve">Estimated Grid Emission Factor (User Location, e.g., EU average):</w:t>
      </w:r>
      <w:r>
        <w:t xml:space="preserve"> </w:t>
      </w:r>
      <w:r>
        <w:t xml:space="preserve">0.25 kgCO2e/kWh (e.g., IEA data)</w:t>
      </w:r>
    </w:p>
    <w:bookmarkEnd w:id="30"/>
    <w:bookmarkStart w:id="31" w:name="end-of-life-eol-scenarios"/>
    <w:p>
      <w:pPr>
        <w:pStyle w:val="Heading3"/>
      </w:pPr>
      <w:r>
        <w:t xml:space="preserve">3.5. End-of-Life (EoL) Scenarios</w:t>
      </w:r>
    </w:p>
    <w:p>
      <w:pPr>
        <w:numPr>
          <w:ilvl w:val="0"/>
          <w:numId w:val="1008"/>
        </w:numPr>
        <w:pStyle w:val="Compact"/>
      </w:pPr>
      <w:r>
        <w:rPr>
          <w:bCs/>
          <w:b/>
        </w:rPr>
        <w:t xml:space="preserve">Recyclability Percentage:</w:t>
      </w:r>
      <w:r>
        <w:t xml:space="preserve"> </w:t>
      </w:r>
      <w:r>
        <w:t xml:space="preserve">85% (xgswwkvmle)</w:t>
      </w:r>
    </w:p>
    <w:p>
      <w:pPr>
        <w:numPr>
          <w:ilvl w:val="0"/>
          <w:numId w:val="1008"/>
        </w:numPr>
        <w:pStyle w:val="Compact"/>
      </w:pPr>
      <w:r>
        <w:rPr>
          <w:bCs/>
          <w:b/>
        </w:rPr>
        <w:t xml:space="preserve">Circular/Take-back Programs:</w:t>
      </w:r>
      <w:r>
        <w:t xml:space="preserve"> </w:t>
      </w:r>
      <w:r>
        <w:t xml:space="preserve">Company-sponsored take-back program (ettggplihx)</w:t>
      </w:r>
    </w:p>
    <w:p>
      <w:pPr>
        <w:numPr>
          <w:ilvl w:val="0"/>
          <w:numId w:val="1008"/>
        </w:numPr>
        <w:pStyle w:val="Compact"/>
      </w:pPr>
      <w:r>
        <w:rPr>
          <w:bCs/>
          <w:b/>
        </w:rPr>
        <w:t xml:space="preserve">Estimated EoL Emission Factor (non-recycled):</w:t>
      </w:r>
      <w:r>
        <w:t xml:space="preserve"> </w:t>
      </w:r>
      <w:r>
        <w:t xml:space="preserve">1.0 kgCO2e/kg for landfill/incineration (simplified industry average)</w:t>
      </w:r>
    </w:p>
    <w:p>
      <w:pPr>
        <w:numPr>
          <w:ilvl w:val="0"/>
          <w:numId w:val="1008"/>
        </w:numPr>
        <w:pStyle w:val="Compact"/>
      </w:pPr>
      <w:r>
        <w:rPr>
          <w:bCs/>
          <w:b/>
        </w:rPr>
        <w:t xml:space="preserve">Estimated Recycling Credit (avoided emissions):</w:t>
      </w:r>
      <w:r>
        <w:t xml:space="preserve"> </w:t>
      </w:r>
      <w:r>
        <w:t xml:space="preserve">-0.5 kgCO2e/kg (simplified industry average for material substitution)</w:t>
      </w:r>
    </w:p>
    <w:p>
      <w:r>
        <w:pict>
          <v:rect style="width:0;height:1.5pt" o:hralign="center" o:hrstd="t" o:hr="t"/>
        </w:pict>
      </w:r>
    </w:p>
    <w:bookmarkEnd w:id="31"/>
    <w:bookmarkEnd w:id="32"/>
    <w:bookmarkStart w:id="42" w:name="emission-calculation"/>
    <w:p>
      <w:pPr>
        <w:pStyle w:val="Heading2"/>
      </w:pPr>
      <w:r>
        <w:t xml:space="preserve">4. Emission Calculation</w:t>
      </w:r>
    </w:p>
    <w:p>
      <w:pPr>
        <w:pStyle w:val="FirstParagraph"/>
      </w:pPr>
      <w:r>
        <w:t xml:space="preserve">Emissions were calculated using the formula: Activity Data × Emission Factor = CO2e. Industry-standard emission factors (e.g., from Ecoinvent and DEFRA databases) were used where primary data was unavailable.</w:t>
      </w:r>
    </w:p>
    <w:bookmarkStart w:id="38" w:name="X4e380d31f0439e0621b3d587afda28fc89c3116"/>
    <w:p>
      <w:pPr>
        <w:pStyle w:val="Heading3"/>
      </w:pPr>
      <w:r>
        <w:t xml:space="preserve">4.1. Lifecycle Stages and Emission Breakdown per Functional Unit (1.0 unit of uvnwnhnrun)</w:t>
      </w:r>
    </w:p>
    <w:bookmarkStart w:id="33" w:name="X194a032d9105e1b6987e6aeeb6a6d57c2787855"/>
    <w:p>
      <w:pPr>
        <w:pStyle w:val="Heading4"/>
      </w:pPr>
      <w:r>
        <w:t xml:space="preserve">4.1.1. Scope 3: Upstream Emissions (Raw Materials &amp; Inbound Transport)</w:t>
      </w:r>
    </w:p>
    <w:p>
      <w:pPr>
        <w:pStyle w:val="FirstParagraph"/>
      </w:pPr>
      <w:r>
        <w:t xml:space="preserve">These emissions cover the extraction, processing of raw materials, and their transportation to the manufacturing facility in China.</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Details</w:t>
            </w:r>
          </w:p>
        </w:tc>
        <w:tc>
          <w:tcPr/>
          <w:p>
            <w:pPr>
              <w:pStyle w:val="Compact"/>
              <w:jc w:val="left"/>
            </w:pPr>
            <w:r>
              <w:t xml:space="preserve">Calculation</w:t>
            </w:r>
          </w:p>
        </w:tc>
        <w:tc>
          <w:tcPr/>
          <w:p>
            <w:pPr>
              <w:pStyle w:val="Compact"/>
              <w:jc w:val="left"/>
            </w:pPr>
            <w:r>
              <w:t xml:space="preserve">CO2e (kg)</w:t>
            </w:r>
          </w:p>
        </w:tc>
      </w:tr>
      <w:tr>
        <w:tc>
          <w:tcPr>
            <w:vMerge w:val="restart"/>
          </w:tcPr>
          <w:p>
            <w:pPr>
              <w:pStyle w:val="Compact"/>
              <w:jc w:val="left"/>
            </w:pPr>
            <w:r>
              <w:rPr>
                <w:bCs/>
                <w:b/>
              </w:rPr>
              <w:t xml:space="preserve">Materials</w:t>
            </w:r>
          </w:p>
        </w:tc>
        <w:tc>
          <w:tcPr/>
          <w:p>
            <w:pPr>
              <w:pStyle w:val="Compact"/>
              <w:jc w:val="left"/>
            </w:pPr>
            <w:r>
              <w:t xml:space="preserve">Aluminum Casing</w:t>
            </w:r>
          </w:p>
        </w:tc>
        <w:tc>
          <w:tcPr/>
          <w:p>
            <w:pPr>
              <w:pStyle w:val="Compact"/>
              <w:jc w:val="left"/>
            </w:pPr>
            <w:r>
              <w:t xml:space="preserve">0.5 kg * 8.0 kgCO2e/kg</w:t>
            </w:r>
          </w:p>
        </w:tc>
        <w:tc>
          <w:tcPr/>
          <w:p>
            <w:pPr>
              <w:pStyle w:val="Compact"/>
              <w:jc w:val="left"/>
            </w:pPr>
            <w:r>
              <w:t xml:space="preserve">4.00</w:t>
            </w:r>
          </w:p>
        </w:tc>
      </w:tr>
      <w:tr>
        <w:tc>
          <w:tcPr>
            <w:gridSpan w:val="1"/>
            <w:vMerge w:val="continue"/>
          </w:tcPr>
          <w:p>
            <w:pPr/>
          </w:p>
        </w:tc>
        <w:tc>
          <w:tcPr/>
          <w:p>
            <w:pPr>
              <w:pStyle w:val="Compact"/>
              <w:jc w:val="left"/>
            </w:pPr>
            <w:r>
              <w:t xml:space="preserve">Plastic Housing</w:t>
            </w:r>
          </w:p>
        </w:tc>
        <w:tc>
          <w:tcPr/>
          <w:p>
            <w:pPr>
              <w:pStyle w:val="Compact"/>
              <w:jc w:val="left"/>
            </w:pPr>
            <w:r>
              <w:t xml:space="preserve">0.3 kg * 3.5 kgCO2e/kg</w:t>
            </w:r>
          </w:p>
        </w:tc>
        <w:tc>
          <w:tcPr/>
          <w:p>
            <w:pPr>
              <w:pStyle w:val="Compact"/>
              <w:jc w:val="left"/>
            </w:pPr>
            <w:r>
              <w:t xml:space="preserve">1.05</w:t>
            </w:r>
          </w:p>
        </w:tc>
      </w:tr>
      <w:tr>
        <w:tc>
          <w:tcPr>
            <w:gridSpan w:val="1"/>
            <w:vMerge w:val="continue"/>
          </w:tcPr>
          <w:p>
            <w:pPr/>
          </w:p>
        </w:tc>
        <w:tc>
          <w:tcPr/>
          <w:p>
            <w:pPr>
              <w:pStyle w:val="Compact"/>
              <w:jc w:val="left"/>
            </w:pPr>
            <w:r>
              <w:t xml:space="preserve">Circuit Board</w:t>
            </w:r>
          </w:p>
        </w:tc>
        <w:tc>
          <w:tcPr/>
          <w:p>
            <w:pPr>
              <w:pStyle w:val="Compact"/>
              <w:jc w:val="left"/>
            </w:pPr>
            <w:r>
              <w:t xml:space="preserve">0.1 kg * 25.0 kgCO2e/kg</w:t>
            </w:r>
          </w:p>
        </w:tc>
        <w:tc>
          <w:tcPr/>
          <w:p>
            <w:pPr>
              <w:pStyle w:val="Compact"/>
              <w:jc w:val="left"/>
            </w:pPr>
            <w:r>
              <w:t xml:space="preserve">2.50</w:t>
            </w:r>
          </w:p>
        </w:tc>
      </w:tr>
      <w:tr>
        <w:tc>
          <w:tcPr>
            <w:gridSpan w:val="1"/>
            <w:vMerge w:val="continue"/>
          </w:tcPr>
          <w:p>
            <w:pPr/>
          </w:p>
        </w:tc>
        <w:tc>
          <w:tcPr/>
          <w:p>
            <w:pPr>
              <w:pStyle w:val="Compact"/>
              <w:jc w:val="left"/>
            </w:pPr>
            <w:r>
              <w:t xml:space="preserve">Copper Wire</w:t>
            </w:r>
          </w:p>
        </w:tc>
        <w:tc>
          <w:tcPr/>
          <w:p>
            <w:pPr>
              <w:pStyle w:val="Compact"/>
              <w:jc w:val="left"/>
            </w:pPr>
            <w:r>
              <w:t xml:space="preserve">0.05 kg * 4.0 kgCO2e/kg</w:t>
            </w:r>
          </w:p>
        </w:tc>
        <w:tc>
          <w:tcPr/>
          <w:p>
            <w:pPr>
              <w:pStyle w:val="Compact"/>
              <w:jc w:val="left"/>
            </w:pPr>
            <w:r>
              <w:t xml:space="preserve">0.20</w:t>
            </w:r>
          </w:p>
        </w:tc>
      </w:tr>
      <w:tr>
        <w:tc>
          <w:tcPr>
            <w:gridSpan w:val="1"/>
            <w:vMerge w:val="continue"/>
          </w:tcPr>
          <w:p>
            <w:pPr/>
          </w:p>
        </w:tc>
        <w:tc>
          <w:tcPr/>
          <w:p>
            <w:pPr>
              <w:pStyle w:val="Compact"/>
              <w:jc w:val="left"/>
            </w:pPr>
            <w:r>
              <w:t xml:space="preserve">Packaging Cardboard</w:t>
            </w:r>
          </w:p>
        </w:tc>
        <w:tc>
          <w:tcPr/>
          <w:p>
            <w:pPr>
              <w:pStyle w:val="Compact"/>
              <w:jc w:val="left"/>
            </w:pPr>
            <w:r>
              <w:t xml:space="preserve">0.2 kg * 1.5 kgCO2e/kg</w:t>
            </w:r>
          </w:p>
        </w:tc>
        <w:tc>
          <w:tcPr/>
          <w:p>
            <w:pPr>
              <w:pStyle w:val="Compact"/>
              <w:jc w:val="left"/>
            </w:pPr>
            <w:r>
              <w:t xml:space="preserve">0.30</w:t>
            </w:r>
          </w:p>
        </w:tc>
      </w:tr>
      <w:tr>
        <w:tc>
          <w:tcPr/>
          <w:p>
            <w:pPr>
              <w:pStyle w:val="Compact"/>
              <w:jc w:val="left"/>
            </w:pPr>
            <w:r>
              <w:rPr>
                <w:bCs/>
                <w:b/>
              </w:rPr>
              <w:t xml:space="preserve">Inbound Transport</w:t>
            </w:r>
          </w:p>
        </w:tc>
        <w:tc>
          <w:tcPr/>
          <w:p>
            <w:pPr>
              <w:pStyle w:val="Compact"/>
              <w:jc w:val="left"/>
            </w:pPr>
            <w:r>
              <w:t xml:space="preserve">Raw Materials to Factory (Road)</w:t>
            </w:r>
          </w:p>
        </w:tc>
        <w:tc>
          <w:tcPr/>
          <w:p>
            <w:pPr>
              <w:pStyle w:val="Compact"/>
              <w:jc w:val="left"/>
            </w:pPr>
            <w:r>
              <w:t xml:space="preserve">1000 km * 0.00115 tonnes * 0.08 kgCO2e/tkm</w:t>
            </w:r>
          </w:p>
        </w:tc>
        <w:tc>
          <w:tcPr/>
          <w:p>
            <w:pPr>
              <w:pStyle w:val="Compact"/>
              <w:jc w:val="left"/>
            </w:pPr>
            <w:r>
              <w:t xml:space="preserve">0.092</w:t>
            </w:r>
          </w:p>
        </w:tc>
      </w:tr>
      <w:tr>
        <w:tc>
          <w:tcPr>
            <w:gridSpan w:val="3"/>
          </w:tcPr>
          <w:p>
            <w:pPr>
              <w:pStyle w:val="Compact"/>
              <w:jc w:val="right"/>
            </w:pPr>
            <w:r>
              <w:rPr>
                <w:bCs/>
                <w:b/>
              </w:rPr>
              <w:t xml:space="preserve">Subtotal Upstream Emissions:</w:t>
            </w:r>
          </w:p>
        </w:tc>
        <w:tc>
          <w:tcPr/>
          <w:p>
            <w:pPr>
              <w:pStyle w:val="Compact"/>
              <w:jc w:val="left"/>
            </w:pPr>
            <w:r>
              <w:rPr>
                <w:bCs/>
                <w:b/>
              </w:rPr>
              <w:t xml:space="preserve">8.142</w:t>
            </w:r>
          </w:p>
        </w:tc>
      </w:tr>
    </w:tbl>
    <w:bookmarkEnd w:id="33"/>
    <w:bookmarkStart w:id="34" w:name="scope-2-manufacturing-energy-emissions"/>
    <w:p>
      <w:pPr>
        <w:pStyle w:val="Heading4"/>
      </w:pPr>
      <w:r>
        <w:t xml:space="preserve">4.1.2. Scope 2: Manufacturing Energy Emissions</w:t>
      </w:r>
    </w:p>
    <w:p>
      <w:pPr>
        <w:pStyle w:val="FirstParagraph"/>
      </w:pPr>
      <w:r>
        <w:t xml:space="preserve">Emissions from purchased electricity used during the manufacturing process in China.</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Details</w:t>
            </w:r>
          </w:p>
        </w:tc>
        <w:tc>
          <w:tcPr/>
          <w:p>
            <w:pPr>
              <w:pStyle w:val="Compact"/>
              <w:jc w:val="left"/>
            </w:pPr>
            <w:r>
              <w:t xml:space="preserve">Calculation</w:t>
            </w:r>
          </w:p>
        </w:tc>
        <w:tc>
          <w:tcPr/>
          <w:p>
            <w:pPr>
              <w:pStyle w:val="Compact"/>
              <w:jc w:val="left"/>
            </w:pPr>
            <w:r>
              <w:t xml:space="preserve">CO2e (kg)</w:t>
            </w:r>
          </w:p>
        </w:tc>
      </w:tr>
      <w:tr>
        <w:tc>
          <w:tcPr/>
          <w:p>
            <w:pPr>
              <w:pStyle w:val="Compact"/>
              <w:jc w:val="left"/>
            </w:pPr>
            <w:r>
              <w:rPr>
                <w:bCs/>
                <w:b/>
              </w:rPr>
              <w:t xml:space="preserve">Electricity Consumption</w:t>
            </w:r>
          </w:p>
        </w:tc>
        <w:tc>
          <w:tcPr/>
          <w:p>
            <w:pPr>
              <w:pStyle w:val="Compact"/>
              <w:jc w:val="left"/>
            </w:pPr>
            <w:r>
              <w:t xml:space="preserve">Non-renewable portion (30% of 15 kWh)</w:t>
            </w:r>
          </w:p>
        </w:tc>
        <w:tc>
          <w:tcPr/>
          <w:p>
            <w:pPr>
              <w:pStyle w:val="Compact"/>
              <w:jc w:val="left"/>
            </w:pPr>
            <w:r>
              <w:t xml:space="preserve">(15 kWh * (1 - 0.70)) * 0.6 kgCO2e/kWh</w:t>
            </w:r>
          </w:p>
        </w:tc>
        <w:tc>
          <w:tcPr/>
          <w:p>
            <w:pPr>
              <w:pStyle w:val="Compact"/>
              <w:jc w:val="left"/>
            </w:pPr>
            <w:r>
              <w:t xml:space="preserve">2.70</w:t>
            </w:r>
          </w:p>
        </w:tc>
      </w:tr>
      <w:tr>
        <w:tc>
          <w:tcPr>
            <w:gridSpan w:val="3"/>
          </w:tcPr>
          <w:p>
            <w:pPr>
              <w:pStyle w:val="Compact"/>
              <w:jc w:val="right"/>
            </w:pPr>
            <w:r>
              <w:rPr>
                <w:bCs/>
                <w:b/>
              </w:rPr>
              <w:t xml:space="preserve">Subtotal Manufacturing Energy Emissions:</w:t>
            </w:r>
          </w:p>
        </w:tc>
        <w:tc>
          <w:tcPr/>
          <w:p>
            <w:pPr>
              <w:pStyle w:val="Compact"/>
              <w:jc w:val="left"/>
            </w:pPr>
            <w:r>
              <w:rPr>
                <w:bCs/>
                <w:b/>
              </w:rPr>
              <w:t xml:space="preserve">2.70</w:t>
            </w:r>
          </w:p>
        </w:tc>
      </w:tr>
    </w:tbl>
    <w:bookmarkEnd w:id="34"/>
    <w:bookmarkStart w:id="35" w:name="scope-3-downstream-transport-emissions"/>
    <w:p>
      <w:pPr>
        <w:pStyle w:val="Heading4"/>
      </w:pPr>
      <w:r>
        <w:t xml:space="preserve">4.1.3. Scope 3: Downstream Transport Emissions</w:t>
      </w:r>
    </w:p>
    <w:p>
      <w:pPr>
        <w:pStyle w:val="FirstParagraph"/>
      </w:pPr>
      <w:r>
        <w:t xml:space="preserve">Emissions from transporting the finished product from the factory gate to the end customer.</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Details</w:t>
            </w:r>
          </w:p>
        </w:tc>
        <w:tc>
          <w:tcPr/>
          <w:p>
            <w:pPr>
              <w:pStyle w:val="Compact"/>
              <w:jc w:val="left"/>
            </w:pPr>
            <w:r>
              <w:t xml:space="preserve">Calculation</w:t>
            </w:r>
          </w:p>
        </w:tc>
        <w:tc>
          <w:tcPr/>
          <w:p>
            <w:pPr>
              <w:pStyle w:val="Compact"/>
              <w:jc w:val="left"/>
            </w:pPr>
            <w:r>
              <w:t xml:space="preserve">CO2e (kg)</w:t>
            </w:r>
          </w:p>
        </w:tc>
      </w:tr>
      <w:tr>
        <w:tc>
          <w:tcPr/>
          <w:p>
            <w:pPr>
              <w:pStyle w:val="Compact"/>
              <w:jc w:val="left"/>
            </w:pPr>
            <w:r>
              <w:rPr>
                <w:bCs/>
                <w:b/>
              </w:rPr>
              <w:t xml:space="preserve">Main Transport Leg</w:t>
            </w:r>
          </w:p>
        </w:tc>
        <w:tc>
          <w:tcPr/>
          <w:p>
            <w:pPr>
              <w:pStyle w:val="Compact"/>
              <w:jc w:val="left"/>
            </w:pPr>
            <w:r>
              <w:t xml:space="preserve">China to Europe (Sea Freight)</w:t>
            </w:r>
          </w:p>
        </w:tc>
        <w:tc>
          <w:tcPr/>
          <w:p>
            <w:pPr>
              <w:pStyle w:val="Compact"/>
              <w:jc w:val="left"/>
            </w:pPr>
            <w:r>
              <w:t xml:space="preserve">15000 km * 0.00115 tonnes * 0.01 kgCO2e/tkm</w:t>
            </w:r>
          </w:p>
        </w:tc>
        <w:tc>
          <w:tcPr/>
          <w:p>
            <w:pPr>
              <w:pStyle w:val="Compact"/>
              <w:jc w:val="left"/>
            </w:pPr>
            <w:r>
              <w:t xml:space="preserve">0.173</w:t>
            </w:r>
          </w:p>
        </w:tc>
      </w:tr>
      <w:tr>
        <w:tc>
          <w:tcPr/>
          <w:p>
            <w:pPr>
              <w:pStyle w:val="Compact"/>
              <w:jc w:val="left"/>
            </w:pPr>
            <w:r>
              <w:rPr>
                <w:bCs/>
                <w:b/>
              </w:rPr>
              <w:t xml:space="preserve">European Distribution</w:t>
            </w:r>
          </w:p>
        </w:tc>
        <w:tc>
          <w:tcPr/>
          <w:p>
            <w:pPr>
              <w:pStyle w:val="Compact"/>
              <w:jc w:val="left"/>
            </w:pPr>
            <w:r>
              <w:t xml:space="preserve">From Port to Distribution (Road Freight)</w:t>
            </w:r>
          </w:p>
        </w:tc>
        <w:tc>
          <w:tcPr/>
          <w:p>
            <w:pPr>
              <w:pStyle w:val="Compact"/>
              <w:jc w:val="left"/>
            </w:pPr>
            <w:r>
              <w:t xml:space="preserve">800 km * 0.00115 tonnes * 0.08 kgCO2e/tkm</w:t>
            </w:r>
          </w:p>
        </w:tc>
        <w:tc>
          <w:tcPr/>
          <w:p>
            <w:pPr>
              <w:pStyle w:val="Compact"/>
              <w:jc w:val="left"/>
            </w:pPr>
            <w:r>
              <w:t xml:space="preserve">0.074</w:t>
            </w:r>
          </w:p>
        </w:tc>
      </w:tr>
      <w:tr>
        <w:tc>
          <w:tcPr/>
          <w:p>
            <w:pPr>
              <w:pStyle w:val="Compact"/>
              <w:jc w:val="left"/>
            </w:pPr>
            <w:r>
              <w:rPr>
                <w:bCs/>
                <w:b/>
              </w:rPr>
              <w:t xml:space="preserve">Last-Mile Delivery</w:t>
            </w:r>
          </w:p>
        </w:tc>
        <w:tc>
          <w:tcPr/>
          <w:p>
            <w:pPr>
              <w:pStyle w:val="Compact"/>
              <w:jc w:val="left"/>
            </w:pPr>
            <w:r>
              <w:t xml:space="preserve">To End Customer (Parcel Van)</w:t>
            </w:r>
          </w:p>
        </w:tc>
        <w:tc>
          <w:tcPr/>
          <w:p>
            <w:pPr>
              <w:pStyle w:val="Compact"/>
              <w:jc w:val="left"/>
            </w:pPr>
            <w:r>
              <w:t xml:space="preserve">50 km * 0.00115 tonnes * 0.15 kgCO2e/tkm</w:t>
            </w:r>
          </w:p>
        </w:tc>
        <w:tc>
          <w:tcPr/>
          <w:p>
            <w:pPr>
              <w:pStyle w:val="Compact"/>
              <w:jc w:val="left"/>
            </w:pPr>
            <w:r>
              <w:t xml:space="preserve">0.009</w:t>
            </w:r>
          </w:p>
        </w:tc>
      </w:tr>
      <w:tr>
        <w:tc>
          <w:tcPr>
            <w:gridSpan w:val="3"/>
          </w:tcPr>
          <w:p>
            <w:pPr>
              <w:pStyle w:val="Compact"/>
              <w:jc w:val="right"/>
            </w:pPr>
            <w:r>
              <w:rPr>
                <w:bCs/>
                <w:b/>
              </w:rPr>
              <w:t xml:space="preserve">Subtotal Downstream Transport Emissions:</w:t>
            </w:r>
          </w:p>
        </w:tc>
        <w:tc>
          <w:tcPr/>
          <w:p>
            <w:pPr>
              <w:pStyle w:val="Compact"/>
              <w:jc w:val="left"/>
            </w:pPr>
            <w:r>
              <w:rPr>
                <w:bCs/>
                <w:b/>
              </w:rPr>
              <w:t xml:space="preserve">0.256</w:t>
            </w:r>
          </w:p>
        </w:tc>
      </w:tr>
    </w:tbl>
    <w:bookmarkEnd w:id="35"/>
    <w:bookmarkStart w:id="36" w:name="scope-3-use-phase-emissions"/>
    <w:p>
      <w:pPr>
        <w:pStyle w:val="Heading4"/>
      </w:pPr>
      <w:r>
        <w:t xml:space="preserve">4.1.4. Scope 3: Use Phase Emissions</w:t>
      </w:r>
    </w:p>
    <w:p>
      <w:pPr>
        <w:pStyle w:val="FirstParagraph"/>
      </w:pPr>
      <w:r>
        <w:t xml:space="preserve">Emissions generated during the product\'s lifespan from energy consumption.</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Details</w:t>
            </w:r>
          </w:p>
        </w:tc>
        <w:tc>
          <w:tcPr/>
          <w:p>
            <w:pPr>
              <w:pStyle w:val="Compact"/>
              <w:jc w:val="left"/>
            </w:pPr>
            <w:r>
              <w:t xml:space="preserve">Calculation</w:t>
            </w:r>
          </w:p>
        </w:tc>
        <w:tc>
          <w:tcPr/>
          <w:p>
            <w:pPr>
              <w:pStyle w:val="Compact"/>
              <w:jc w:val="left"/>
            </w:pPr>
            <w:r>
              <w:t xml:space="preserve">CO2e (kg)</w:t>
            </w:r>
          </w:p>
        </w:tc>
      </w:tr>
      <w:tr>
        <w:tc>
          <w:tcPr/>
          <w:p>
            <w:pPr>
              <w:pStyle w:val="Compact"/>
              <w:jc w:val="left"/>
            </w:pPr>
            <w:r>
              <w:rPr>
                <w:bCs/>
                <w:b/>
              </w:rPr>
              <w:t xml:space="preserve">Energy Consumption</w:t>
            </w:r>
          </w:p>
        </w:tc>
        <w:tc>
          <w:tcPr/>
          <w:p>
            <w:pPr>
              <w:pStyle w:val="Compact"/>
              <w:jc w:val="left"/>
            </w:pPr>
            <w:r>
              <w:t xml:space="preserve">Total over 5-year lifespan</w:t>
            </w:r>
          </w:p>
        </w:tc>
        <w:tc>
          <w:tcPr/>
          <w:p>
            <w:pPr>
              <w:pStyle w:val="Compact"/>
              <w:jc w:val="left"/>
            </w:pPr>
            <w:r>
              <w:t xml:space="preserve">100 kWh/year * 5 years * 0.25 kgCO2e/kWh</w:t>
            </w:r>
          </w:p>
        </w:tc>
        <w:tc>
          <w:tcPr/>
          <w:p>
            <w:pPr>
              <w:pStyle w:val="Compact"/>
              <w:jc w:val="left"/>
            </w:pPr>
            <w:r>
              <w:t xml:space="preserve">125.00</w:t>
            </w:r>
          </w:p>
        </w:tc>
      </w:tr>
      <w:tr>
        <w:tc>
          <w:tcPr>
            <w:gridSpan w:val="3"/>
          </w:tcPr>
          <w:p>
            <w:pPr>
              <w:pStyle w:val="Compact"/>
              <w:jc w:val="right"/>
            </w:pPr>
            <w:r>
              <w:rPr>
                <w:bCs/>
                <w:b/>
              </w:rPr>
              <w:t xml:space="preserve">Subtotal Use Phase Emissions:</w:t>
            </w:r>
          </w:p>
        </w:tc>
        <w:tc>
          <w:tcPr/>
          <w:p>
            <w:pPr>
              <w:pStyle w:val="Compact"/>
              <w:jc w:val="left"/>
            </w:pPr>
            <w:r>
              <w:rPr>
                <w:bCs/>
                <w:b/>
              </w:rPr>
              <w:t xml:space="preserve">125.00</w:t>
            </w:r>
          </w:p>
        </w:tc>
      </w:tr>
    </w:tbl>
    <w:bookmarkEnd w:id="36"/>
    <w:bookmarkStart w:id="37" w:name="X3419b6809655230185de9a10701c986d1b3ac64"/>
    <w:p>
      <w:pPr>
        <w:pStyle w:val="Heading4"/>
      </w:pPr>
      <w:r>
        <w:t xml:space="preserve">4.1.5. Scope 3: End-of-Life (EoL) Emissions and Benefits</w:t>
      </w:r>
    </w:p>
    <w:p>
      <w:pPr>
        <w:pStyle w:val="FirstParagraph"/>
      </w:pPr>
      <w:r>
        <w:t xml:space="preserve">Emissions from waste management at the end of the product\'s life. This section also highlights potential avoided emissions due to circular economy initiatives.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Details</w:t>
            </w:r>
          </w:p>
        </w:tc>
        <w:tc>
          <w:tcPr/>
          <w:p>
            <w:pPr>
              <w:pStyle w:val="Compact"/>
              <w:jc w:val="left"/>
            </w:pPr>
            <w:r>
              <w:t xml:space="preserve">Calculation</w:t>
            </w:r>
          </w:p>
        </w:tc>
        <w:tc>
          <w:tcPr/>
          <w:p>
            <w:pPr>
              <w:pStyle w:val="Compact"/>
              <w:jc w:val="left"/>
            </w:pPr>
            <w:r>
              <w:t xml:space="preserve">CO2e (kg)</w:t>
            </w:r>
          </w:p>
        </w:tc>
      </w:tr>
      <w:tr>
        <w:tc>
          <w:tcPr/>
          <w:p>
            <w:pPr>
              <w:pStyle w:val="Compact"/>
              <w:jc w:val="left"/>
            </w:pPr>
            <w:r>
              <w:rPr>
                <w:bCs/>
                <w:b/>
              </w:rPr>
              <w:t xml:space="preserve">Non-Recycled Disposal</w:t>
            </w:r>
          </w:p>
        </w:tc>
        <w:tc>
          <w:tcPr/>
          <w:p>
            <w:pPr>
              <w:pStyle w:val="Compact"/>
              <w:jc w:val="left"/>
            </w:pPr>
            <w:r>
              <w:t xml:space="preserve">15% of product mass to landfill/incineration</w:t>
            </w:r>
          </w:p>
        </w:tc>
        <w:tc>
          <w:tcPr/>
          <w:p>
            <w:pPr>
              <w:pStyle w:val="Compact"/>
              <w:jc w:val="left"/>
            </w:pPr>
            <w:r>
              <w:t xml:space="preserve">(1.15 kg * 0.15) * 1.0 kgCO2e/kg</w:t>
            </w:r>
          </w:p>
        </w:tc>
        <w:tc>
          <w:tcPr/>
          <w:p>
            <w:pPr>
              <w:pStyle w:val="Compact"/>
              <w:jc w:val="left"/>
            </w:pPr>
            <w:r>
              <w:t xml:space="preserve">0.173</w:t>
            </w:r>
          </w:p>
        </w:tc>
      </w:tr>
      <w:tr>
        <w:tc>
          <w:tcPr/>
          <w:p>
            <w:pPr>
              <w:pStyle w:val="Compact"/>
              <w:jc w:val="left"/>
            </w:pPr>
            <w:r>
              <w:rPr>
                <w:bCs/>
                <w:b/>
              </w:rPr>
              <w:t xml:space="preserve">Recycling Avoided Emissions</w:t>
            </w:r>
          </w:p>
        </w:tc>
        <w:tc>
          <w:tcPr/>
          <w:p>
            <w:pPr>
              <w:pStyle w:val="Compact"/>
              <w:jc w:val="left"/>
            </w:pPr>
            <w:r>
              <w:t xml:space="preserve">85% of product mass recycled (credit)</w:t>
            </w:r>
          </w:p>
        </w:tc>
        <w:tc>
          <w:tcPr/>
          <w:p>
            <w:pPr>
              <w:pStyle w:val="Compact"/>
              <w:jc w:val="left"/>
            </w:pPr>
            <w:r>
              <w:t xml:space="preserve">(1.15 kg * 0.85) * -0.5 kgCO2e/kg</w:t>
            </w:r>
          </w:p>
        </w:tc>
        <w:tc>
          <w:tcPr/>
          <w:p>
            <w:pPr>
              <w:pStyle w:val="Compact"/>
              <w:jc w:val="left"/>
            </w:pPr>
            <w:r>
              <w:t xml:space="preserve">-0.489</w:t>
            </w:r>
          </w:p>
        </w:tc>
      </w:tr>
      <w:tr>
        <w:tc>
          <w:tcPr>
            <w:gridSpan w:val="3"/>
          </w:tcPr>
          <w:p>
            <w:pPr>
              <w:pStyle w:val="Compact"/>
              <w:jc w:val="right"/>
            </w:pPr>
            <w:r>
              <w:rPr>
                <w:bCs/>
                <w:b/>
              </w:rPr>
              <w:t xml:space="preserve">Gross EoL Emissions:</w:t>
            </w:r>
          </w:p>
        </w:tc>
        <w:tc>
          <w:tcPr/>
          <w:p>
            <w:pPr>
              <w:pStyle w:val="Compact"/>
              <w:jc w:val="left"/>
            </w:pPr>
            <w:r>
              <w:rPr>
                <w:bCs/>
                <w:b/>
              </w:rPr>
              <w:t xml:space="preserve">0.173</w:t>
            </w:r>
          </w:p>
        </w:tc>
      </w:tr>
      <w:tr>
        <w:tc>
          <w:tcPr>
            <w:gridSpan w:val="3"/>
          </w:tcPr>
          <w:p>
            <w:pPr>
              <w:pStyle w:val="Compact"/>
              <w:jc w:val="right"/>
            </w:pPr>
            <w:r>
              <w:rPr>
                <w:bCs/>
                <w:b/>
              </w:rPr>
              <w:t xml:space="preserve">Net EoL Impact (Emissions + Credit):</w:t>
            </w:r>
          </w:p>
        </w:tc>
        <w:tc>
          <w:tcPr/>
          <w:p>
            <w:pPr>
              <w:pStyle w:val="Compact"/>
              <w:jc w:val="left"/>
            </w:pPr>
            <w:r>
              <w:rPr>
                <w:bCs/>
                <w:b/>
              </w:rPr>
              <w:t xml:space="preserve">-0.316</w:t>
            </w:r>
          </w:p>
        </w:tc>
      </w:tr>
    </w:tbl>
    <w:p>
      <w:pPr>
        <w:pStyle w:val="BodyText"/>
      </w:pPr>
      <w:r>
        <w:rPr>
          <w:iCs/>
          <w:i/>
        </w:rPr>
        <w:t xml:space="preserve">Note: For reporting purposes, the gross EoL emissions are included in the overall cradle-to-grave PCF. The avoided emissions from recycling represent a potential benefit that can be realized through circular economy practices like emljkgfdqm\'s take-back program.</w:t>
      </w:r>
    </w:p>
    <w:bookmarkEnd w:id="37"/>
    <w:bookmarkEnd w:id="38"/>
    <w:bookmarkStart w:id="41" w:name="X299a3717db401fbc63eac38de0814f3ad8939f4"/>
    <w:p>
      <w:pPr>
        <w:pStyle w:val="Heading3"/>
      </w:pPr>
      <w:r>
        <w:t xml:space="preserve">4.2. Total Product Carbon Footprint (PCF) Summary</w:t>
      </w:r>
    </w:p>
    <w:p>
      <w:pPr>
        <w:pStyle w:val="FirstParagraph"/>
      </w:pPr>
      <w:r>
        <w:t xml:space="preserve">Two primary PCF totals are presented to address both the strict "factory_gate" boundary and a comprehensive "Cradle-to-Grave" analysis, as per the report requirements.</w:t>
      </w:r>
    </w:p>
    <w:bookmarkStart w:id="39" w:name="X340e5ed2db366939a1706172292d85b3b7e7f49"/>
    <w:p>
      <w:pPr>
        <w:pStyle w:val="Heading4"/>
      </w:pPr>
      <w:r>
        <w:t xml:space="preserve">4.2.1. Cradle-to-Gate PCF (Strict Factory Gate Boundary)</w:t>
      </w:r>
    </w:p>
    <w:p>
      <w:pPr>
        <w:pStyle w:val="FirstParagraph"/>
      </w:pPr>
      <w:r>
        <w:t xml:space="preserve">This covers raw material acquisition, pre-processing, inbound transport to the factory, manufacturing, and transport of the finished product to the factory gate. For emljkgfdqm, this includes inbound transport and the main sea freight leg from China to the European port.</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Lifecycle Stage</w:t>
            </w:r>
          </w:p>
        </w:tc>
        <w:tc>
          <w:tcPr/>
          <w:p>
            <w:pPr>
              <w:pStyle w:val="Compact"/>
              <w:jc w:val="left"/>
            </w:pPr>
            <w:r>
              <w:t xml:space="preserve">CO2e (kg)</w:t>
            </w:r>
          </w:p>
        </w:tc>
      </w:tr>
      <w:tr>
        <w:tc>
          <w:tcPr/>
          <w:p>
            <w:pPr>
              <w:pStyle w:val="Compact"/>
              <w:jc w:val="left"/>
            </w:pPr>
            <w:r>
              <w:t xml:space="preserve">Upstream Materials</w:t>
            </w:r>
          </w:p>
        </w:tc>
        <w:tc>
          <w:tcPr/>
          <w:p>
            <w:pPr>
              <w:pStyle w:val="Compact"/>
              <w:jc w:val="left"/>
            </w:pPr>
            <w:r>
              <w:t xml:space="preserve">8.050</w:t>
            </w:r>
          </w:p>
        </w:tc>
      </w:tr>
      <w:tr>
        <w:tc>
          <w:tcPr/>
          <w:p>
            <w:pPr>
              <w:pStyle w:val="Compact"/>
              <w:jc w:val="left"/>
            </w:pPr>
            <w:r>
              <w:t xml:space="preserve">Inbound Transport to Factory</w:t>
            </w:r>
          </w:p>
        </w:tc>
        <w:tc>
          <w:tcPr/>
          <w:p>
            <w:pPr>
              <w:pStyle w:val="Compact"/>
              <w:jc w:val="left"/>
            </w:pPr>
            <w:r>
              <w:t xml:space="preserve">0.092</w:t>
            </w:r>
          </w:p>
        </w:tc>
      </w:tr>
      <w:tr>
        <w:tc>
          <w:tcPr/>
          <w:p>
            <w:pPr>
              <w:pStyle w:val="Compact"/>
              <w:jc w:val="left"/>
            </w:pPr>
            <w:r>
              <w:t xml:space="preserve">Manufacturing Energy (Scope 2)</w:t>
            </w:r>
          </w:p>
        </w:tc>
        <w:tc>
          <w:tcPr/>
          <w:p>
            <w:pPr>
              <w:pStyle w:val="Compact"/>
              <w:jc w:val="left"/>
            </w:pPr>
            <w:r>
              <w:t xml:space="preserve">2.700</w:t>
            </w:r>
          </w:p>
        </w:tc>
      </w:tr>
      <w:tr>
        <w:tc>
          <w:tcPr/>
          <w:p>
            <w:pPr>
              <w:pStyle w:val="Compact"/>
              <w:jc w:val="left"/>
            </w:pPr>
            <w:r>
              <w:t xml:space="preserve">Primary Outbound Transport (Factory Gate to Europe Port)</w:t>
            </w:r>
          </w:p>
        </w:tc>
        <w:tc>
          <w:tcPr/>
          <w:p>
            <w:pPr>
              <w:pStyle w:val="Compact"/>
              <w:jc w:val="left"/>
            </w:pPr>
            <w:r>
              <w:t xml:space="preserve">0.173</w:t>
            </w:r>
          </w:p>
        </w:tc>
      </w:tr>
      <w:tr>
        <w:tc>
          <w:tcPr/>
          <w:p>
            <w:pPr>
              <w:pStyle w:val="Compact"/>
              <w:jc w:val="right"/>
            </w:pPr>
            <w:r>
              <w:rPr>
                <w:bCs/>
                <w:b/>
              </w:rPr>
              <w:t xml:space="preserve">Total Cradle-to-Gate PCF:</w:t>
            </w:r>
          </w:p>
        </w:tc>
        <w:tc>
          <w:tcPr/>
          <w:p>
            <w:pPr>
              <w:pStyle w:val="Compact"/>
              <w:jc w:val="left"/>
            </w:pPr>
            <w:r>
              <w:rPr>
                <w:bCs/>
                <w:b/>
              </w:rPr>
              <w:t xml:space="preserve">11.015</w:t>
            </w:r>
          </w:p>
        </w:tc>
      </w:tr>
    </w:tbl>
    <w:bookmarkEnd w:id="39"/>
    <w:bookmarkStart w:id="40" w:name="X495d1436e550d8be32b0a0f72738d310d19511a"/>
    <w:p>
      <w:pPr>
        <w:pStyle w:val="Heading4"/>
      </w:pPr>
      <w:r>
        <w:t xml:space="preserve">4.2.2. Cradle-to-Grave PCF (Full Lifecycle Analysis)</w:t>
      </w:r>
    </w:p>
    <w:p>
      <w:pPr>
        <w:pStyle w:val="FirstParagraph"/>
      </w:pPr>
      <w:r>
        <w:t xml:space="preserve">This includes all stages from raw material acquisition to end-of-life, providing a complete picture of the product\'s environmental impact.</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Lifecycle Stage</w:t>
            </w:r>
          </w:p>
        </w:tc>
        <w:tc>
          <w:tcPr/>
          <w:p>
            <w:pPr>
              <w:pStyle w:val="Compact"/>
              <w:jc w:val="left"/>
            </w:pPr>
            <w:r>
              <w:t xml:space="preserve">CO2e (kg)</w:t>
            </w:r>
          </w:p>
        </w:tc>
      </w:tr>
      <w:tr>
        <w:tc>
          <w:tcPr/>
          <w:p>
            <w:pPr>
              <w:pStyle w:val="Compact"/>
              <w:jc w:val="left"/>
            </w:pPr>
            <w:r>
              <w:t xml:space="preserve">Upstream Materials</w:t>
            </w:r>
          </w:p>
        </w:tc>
        <w:tc>
          <w:tcPr/>
          <w:p>
            <w:pPr>
              <w:pStyle w:val="Compact"/>
              <w:jc w:val="left"/>
            </w:pPr>
            <w:r>
              <w:t xml:space="preserve">8.050</w:t>
            </w:r>
          </w:p>
        </w:tc>
      </w:tr>
      <w:tr>
        <w:tc>
          <w:tcPr/>
          <w:p>
            <w:pPr>
              <w:pStyle w:val="Compact"/>
              <w:jc w:val="left"/>
            </w:pPr>
            <w:r>
              <w:t xml:space="preserve">Inbound Transport to Factory</w:t>
            </w:r>
          </w:p>
        </w:tc>
        <w:tc>
          <w:tcPr/>
          <w:p>
            <w:pPr>
              <w:pStyle w:val="Compact"/>
              <w:jc w:val="left"/>
            </w:pPr>
            <w:r>
              <w:t xml:space="preserve">0.092</w:t>
            </w:r>
          </w:p>
        </w:tc>
      </w:tr>
      <w:tr>
        <w:tc>
          <w:tcPr/>
          <w:p>
            <w:pPr>
              <w:pStyle w:val="Compact"/>
              <w:jc w:val="left"/>
            </w:pPr>
            <w:r>
              <w:t xml:space="preserve">Manufacturing Energy (Scope 2)</w:t>
            </w:r>
          </w:p>
        </w:tc>
        <w:tc>
          <w:tcPr/>
          <w:p>
            <w:pPr>
              <w:pStyle w:val="Compact"/>
              <w:jc w:val="left"/>
            </w:pPr>
            <w:r>
              <w:t xml:space="preserve">2.700</w:t>
            </w:r>
          </w:p>
        </w:tc>
      </w:tr>
      <w:tr>
        <w:tc>
          <w:tcPr/>
          <w:p>
            <w:pPr>
              <w:pStyle w:val="Compact"/>
              <w:jc w:val="left"/>
            </w:pPr>
            <w:r>
              <w:t xml:space="preserve">Outbound Transport (to Customer, including Last-Mile)</w:t>
            </w:r>
          </w:p>
        </w:tc>
        <w:tc>
          <w:tcPr/>
          <w:p>
            <w:pPr>
              <w:pStyle w:val="Compact"/>
              <w:jc w:val="left"/>
            </w:pPr>
            <w:r>
              <w:t xml:space="preserve">0.256</w:t>
            </w:r>
          </w:p>
        </w:tc>
      </w:tr>
      <w:tr>
        <w:tc>
          <w:tcPr/>
          <w:p>
            <w:pPr>
              <w:pStyle w:val="Compact"/>
              <w:jc w:val="left"/>
            </w:pPr>
            <w:r>
              <w:t xml:space="preserve">Use Phase</w:t>
            </w:r>
          </w:p>
        </w:tc>
        <w:tc>
          <w:tcPr/>
          <w:p>
            <w:pPr>
              <w:pStyle w:val="Compact"/>
              <w:jc w:val="left"/>
            </w:pPr>
            <w:r>
              <w:t xml:space="preserve">125.000</w:t>
            </w:r>
          </w:p>
        </w:tc>
      </w:tr>
      <w:tr>
        <w:tc>
          <w:tcPr/>
          <w:p>
            <w:pPr>
              <w:pStyle w:val="Compact"/>
              <w:jc w:val="left"/>
            </w:pPr>
            <w:r>
              <w:t xml:space="preserve">End-of-Life (Gross Emissions)</w:t>
            </w:r>
          </w:p>
        </w:tc>
        <w:tc>
          <w:tcPr/>
          <w:p>
            <w:pPr>
              <w:pStyle w:val="Compact"/>
              <w:jc w:val="left"/>
            </w:pPr>
            <w:r>
              <w:t xml:space="preserve">0.173</w:t>
            </w:r>
          </w:p>
        </w:tc>
      </w:tr>
      <w:tr>
        <w:tc>
          <w:tcPr/>
          <w:p>
            <w:pPr>
              <w:pStyle w:val="Compact"/>
              <w:jc w:val="right"/>
            </w:pPr>
            <w:r>
              <w:rPr>
                <w:bCs/>
                <w:b/>
              </w:rPr>
              <w:t xml:space="preserve">Total Cradle-to-Grave PCF:</w:t>
            </w:r>
          </w:p>
        </w:tc>
        <w:tc>
          <w:tcPr/>
          <w:p>
            <w:pPr>
              <w:pStyle w:val="Compact"/>
              <w:jc w:val="left"/>
            </w:pPr>
            <w:r>
              <w:rPr>
                <w:bCs/>
                <w:b/>
              </w:rPr>
              <w:t xml:space="preserve">136.271</w:t>
            </w:r>
          </w:p>
        </w:tc>
      </w:tr>
    </w:tbl>
    <w:p>
      <w:r>
        <w:pict>
          <v:rect style="width:0;height:1.5pt" o:hralign="center" o:hrstd="t" o:hr="t"/>
        </w:pict>
      </w:r>
    </w:p>
    <w:bookmarkEnd w:id="40"/>
    <w:bookmarkEnd w:id="41"/>
    <w:bookmarkEnd w:id="42"/>
    <w:bookmarkStart w:id="46" w:name="review-report-hotspots-and-reliability"/>
    <w:p>
      <w:pPr>
        <w:pStyle w:val="Heading2"/>
      </w:pPr>
      <w:r>
        <w:t xml:space="preserve">5. Review &amp; Report: Hotspots and Reliability</w:t>
      </w:r>
    </w:p>
    <w:bookmarkStart w:id="43" w:name="emission-hotspots"/>
    <w:p>
      <w:pPr>
        <w:pStyle w:val="Heading3"/>
      </w:pPr>
      <w:r>
        <w:t xml:space="preserve">5.1. Emission Hotspots</w:t>
      </w:r>
    </w:p>
    <w:p>
      <w:pPr>
        <w:pStyle w:val="FirstParagraph"/>
      </w:pPr>
      <w:r>
        <w:t xml:space="preserve">The analysis reveals significant emission hotspots across the lifecycle of uvnwnhnrun:</w:t>
      </w:r>
    </w:p>
    <w:p>
      <w:pPr>
        <w:numPr>
          <w:ilvl w:val="0"/>
          <w:numId w:val="1009"/>
        </w:numPr>
        <w:pStyle w:val="Compact"/>
      </w:pPr>
      <w:r>
        <w:rPr>
          <w:bCs/>
          <w:b/>
        </w:rPr>
        <w:t xml:space="preserve">Use Phase (125.00 kgCO2e):</w:t>
      </w:r>
      <w:r>
        <w:t xml:space="preserve"> </w:t>
      </w:r>
      <w:r>
        <w:t xml:space="preserve">This is overwhelmingly the largest contributor to the total PCF, accounting for approximately 91.7% of the Cradle-to-Grave emissions. The high energy consumption during the product\'s 5-year lifespan is the primary driver.</w:t>
      </w:r>
    </w:p>
    <w:p>
      <w:pPr>
        <w:numPr>
          <w:ilvl w:val="0"/>
          <w:numId w:val="1009"/>
        </w:numPr>
        <w:pStyle w:val="Compact"/>
      </w:pPr>
      <w:r>
        <w:rPr>
          <w:bCs/>
          <w:b/>
        </w:rPr>
        <w:t xml:space="preserve">Raw Materials (8.05 kgCO2e):</w:t>
      </w:r>
      <w:r>
        <w:t xml:space="preserve"> </w:t>
      </w:r>
      <w:r>
        <w:t xml:space="preserve">Materials, particularly the aluminum casing and circuit board, represent the second largest hotspot. The production of these high-impact materials significantly contributes to upstream Scope 3 emissions.</w:t>
      </w:r>
    </w:p>
    <w:p>
      <w:pPr>
        <w:numPr>
          <w:ilvl w:val="0"/>
          <w:numId w:val="1009"/>
        </w:numPr>
        <w:pStyle w:val="Compact"/>
      </w:pPr>
      <w:r>
        <w:rPr>
          <w:bCs/>
          <w:b/>
        </w:rPr>
        <w:t xml:space="preserve">Manufacturing Energy (2.70 kgCO2e):</w:t>
      </w:r>
      <w:r>
        <w:t xml:space="preserve"> </w:t>
      </w:r>
      <w:r>
        <w:t xml:space="preserve">While emljkgfdqm utilizes 70% renewable energy in production, the remaining 30% from the grid in China still contributes noticeably to the overall footprint.</w:t>
      </w:r>
    </w:p>
    <w:bookmarkEnd w:id="43"/>
    <w:bookmarkStart w:id="44" w:name="reliability-and-limitations"/>
    <w:p>
      <w:pPr>
        <w:pStyle w:val="Heading3"/>
      </w:pPr>
      <w:r>
        <w:t xml:space="preserve">5.2. Reliability and Limitations</w:t>
      </w:r>
    </w:p>
    <w:p>
      <w:pPr>
        <w:pStyle w:val="FirstParagraph"/>
      </w:pPr>
      <w:r>
        <w:t xml:space="preserve">The reliability of this PCF analysis is high, benefiting from the use of specific primary data for BOM, energy consumption, and product lifespan. However, certain limitations apply:</w:t>
      </w:r>
    </w:p>
    <w:p>
      <w:pPr>
        <w:numPr>
          <w:ilvl w:val="0"/>
          <w:numId w:val="1010"/>
        </w:numPr>
        <w:pStyle w:val="Compact"/>
      </w:pPr>
      <w:r>
        <w:rPr>
          <w:bCs/>
          <w:b/>
        </w:rPr>
        <w:t xml:space="preserve">Secondary Data Reliance:</w:t>
      </w:r>
      <w:r>
        <w:t xml:space="preserve"> </w:t>
      </w:r>
      <w:r>
        <w:t xml:space="preserve">Generic industry-average emission factors (e.g., from Ecoinvent/DEFRA) were used for transport modes, material processes, and grid electricity where company-specific data was not available. These represent reasonable estimates but may not perfectly reflect all specific operational nuances.</w:t>
      </w:r>
    </w:p>
    <w:p>
      <w:pPr>
        <w:numPr>
          <w:ilvl w:val="0"/>
          <w:numId w:val="1010"/>
        </w:numPr>
        <w:pStyle w:val="Compact"/>
      </w:pPr>
      <w:r>
        <w:rPr>
          <w:bCs/>
          <w:b/>
        </w:rPr>
        <w:t xml:space="preserve">EoL Simplification:</w:t>
      </w:r>
      <w:r>
        <w:t xml:space="preserve"> </w:t>
      </w:r>
      <w:r>
        <w:t xml:space="preserve">The End-of-Life scenario uses simplified emission factors and credits. A more detailed waste management study would provide greater precision.</w:t>
      </w:r>
    </w:p>
    <w:p>
      <w:pPr>
        <w:numPr>
          <w:ilvl w:val="0"/>
          <w:numId w:val="1010"/>
        </w:numPr>
        <w:pStyle w:val="Compact"/>
      </w:pPr>
      <w:r>
        <w:rPr>
          <w:bCs/>
          <w:b/>
        </w:rPr>
        <w:t xml:space="preserve">Dynamic Factors:</w:t>
      </w:r>
      <w:r>
        <w:t xml:space="preserve"> </w:t>
      </w:r>
      <w:r>
        <w:t xml:space="preserve">Market dynamics, technological advancements, and shifts in energy grids can alter emission factors over time, which are not captured in a static assessment.</w:t>
      </w:r>
    </w:p>
    <w:bookmarkEnd w:id="44"/>
    <w:bookmarkStart w:id="45" w:name="recommendations-for-reduction"/>
    <w:p>
      <w:pPr>
        <w:pStyle w:val="Heading3"/>
      </w:pPr>
      <w:r>
        <w:t xml:space="preserve">5.3. Recommendations for Reduction</w:t>
      </w:r>
    </w:p>
    <w:p>
      <w:pPr>
        <w:pStyle w:val="FirstParagraph"/>
      </w:pPr>
      <w:r>
        <w:t xml:space="preserve">Based on these findings, emljkgfdqm should focus its efforts on the following areas to reduce the PCF of uvnwnhnrun:</w:t>
      </w:r>
    </w:p>
    <w:p>
      <w:pPr>
        <w:numPr>
          <w:ilvl w:val="0"/>
          <w:numId w:val="1011"/>
        </w:numPr>
        <w:pStyle w:val="Compact"/>
      </w:pPr>
      <w:r>
        <w:rPr>
          <w:bCs/>
          <w:b/>
        </w:rPr>
        <w:t xml:space="preserve">Optimize Use Phase Efficiency:</w:t>
      </w:r>
      <w:r>
        <w:t xml:space="preserve"> </w:t>
      </w:r>
      <w:r>
        <w:t xml:space="preserve">Invest in R&amp;D to significantly reduce the product\'s energy consumption during its use phase. This is the most critical area for impact reduction.</w:t>
      </w:r>
    </w:p>
    <w:p>
      <w:pPr>
        <w:numPr>
          <w:ilvl w:val="0"/>
          <w:numId w:val="1011"/>
        </w:numPr>
        <w:pStyle w:val="Compact"/>
      </w:pPr>
      <w:r>
        <w:rPr>
          <w:bCs/>
          <w:b/>
        </w:rPr>
        <w:t xml:space="preserve">Enhance Renewable Energy Adoption:</w:t>
      </w:r>
      <w:r>
        <w:t xml:space="preserve"> </w:t>
      </w:r>
      <w:r>
        <w:t xml:space="preserve">While 70% is commendable, further increasing renewable energy usage at manufacturing facilities in China or procuring high-quality Renewable Energy Certificates (RECs) could further reduce Scope 2 emissions.</w:t>
      </w:r>
    </w:p>
    <w:p>
      <w:pPr>
        <w:numPr>
          <w:ilvl w:val="0"/>
          <w:numId w:val="1011"/>
        </w:numPr>
        <w:pStyle w:val="Compact"/>
      </w:pPr>
      <w:r>
        <w:rPr>
          <w:bCs/>
          <w:b/>
        </w:rPr>
        <w:t xml:space="preserve">Material Optimization:</w:t>
      </w:r>
      <w:r>
        <w:t xml:space="preserve"> </w:t>
      </w:r>
      <w:r>
        <w:t xml:space="preserve">Explore alternative, lower-carbon materials for the aluminum casing and circuit board without compromising performance, or investigate suppliers with verified low-carbon production processes.</w:t>
      </w:r>
    </w:p>
    <w:p>
      <w:pPr>
        <w:numPr>
          <w:ilvl w:val="0"/>
          <w:numId w:val="1011"/>
        </w:numPr>
        <w:pStyle w:val="Compact"/>
      </w:pPr>
      <w:r>
        <w:rPr>
          <w:bCs/>
          <w:b/>
        </w:rPr>
        <w:t xml:space="preserve">Strengthen Circularity:</w:t>
      </w:r>
      <w:r>
        <w:t xml:space="preserve"> </w:t>
      </w:r>
      <w:r>
        <w:t xml:space="preserve">Continue to promote and expand the company\'s take-back programs and explore innovative design for disassembly and material recovery to maximize recycling rates and minimize waste.</w:t>
      </w:r>
    </w:p>
    <w:p>
      <w:r>
        <w:pict>
          <v:rect style="width:0;height:1.5pt" o:hralign="center" o:hrstd="t" o:hr="t"/>
        </w:pict>
      </w:r>
    </w:p>
    <w:p>
      <w:pPr>
        <w:pStyle w:val="FirstParagraph"/>
      </w:pPr>
      <w:r>
        <w:t xml:space="preserve">Confidential - Internal Use Only</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uvnwnhnrun</dc:title>
  <dc:creator/>
  <dc:description>Detailed Product Carbon Footprint (PCF) analysis report for uvnwnhnrun by emljkgfdqm, adhering to GHG Protocol and 2026 LSR updates.</dc:description>
  <dc:language>en</dc:language>
  <cp:keywords/>
  <dcterms:created xsi:type="dcterms:W3CDTF">2026-07-15T05:33:54Z</dcterms:created>
  <dcterms:modified xsi:type="dcterms:W3CDTF">2026-07-15T05:33:54Z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