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uqzxozurqw</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uqzxozurqw</w:t>
      </w:r>
    </w:p>
    <w:p>
      <w:pPr>
        <w:pStyle w:val="BodyText"/>
      </w:pPr>
      <w:r>
        <w:rPr>
          <w:bCs/>
          <w:b/>
        </w:rPr>
        <w:t xml:space="preserve">Company Name:</w:t>
      </w:r>
      <w:r>
        <w:t xml:space="preserve"> </w:t>
      </w:r>
      <w:r>
        <w:t xml:space="preserve">rgkgzdqtqm</w:t>
      </w:r>
    </w:p>
    <w:p>
      <w:pPr>
        <w:pStyle w:val="BodyText"/>
      </w:pPr>
      <w:r>
        <w:rPr>
          <w:bCs/>
          <w:b/>
        </w:rPr>
        <w:t xml:space="preserve">Senior Sustainability Consultant:</w:t>
      </w:r>
      <w:r>
        <w:t xml:space="preserve"> </w:t>
      </w:r>
      <w:r>
        <w:t xml:space="preserve">dhkkhxmvrk</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it relies on the completeness and correctness of the provided parameters and estimated emission factors.</w:t>
      </w:r>
    </w:p>
    <w:bookmarkEnd w:id="20"/>
    <w:bookmarkStart w:id="21" w:name="Xf2f420b8dea2a206874ac322e46a0ea3389b3a9"/>
    <w:p>
      <w:pPr>
        <w:pStyle w:val="Heading1"/>
      </w:pPr>
      <w:r>
        <w:t xml:space="preserve">Product Carbon Footprint Analysis for uqzxozurqw</w:t>
      </w:r>
    </w:p>
    <w:p>
      <w:pPr>
        <w:pStyle w:val="FirstParagraph"/>
      </w:pPr>
      <w:r>
        <w:t xml:space="preserve">Generated Date: 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uqzxozurqw, manufactured by rgkgzdqtqm. The analysis was conducted by dhkkhxmvrk, Senior Sustainability Consultant, adhering strictly to the GHG Protocol accounting standard. The primary objective is to quantify the greenhouse gas emissions associated with the product\'s entire lifecycle, from raw material extraction to end-of-life, identify key emission hotspots, and provide insights for decarbonization efforts. The total estimated Product Carbon Footprint for uqzxozurqw is 41.67 kg CO2e per functional unit. The use phase of the product represents the most significant emission hotspot.</w:t>
      </w:r>
    </w:p>
    <w:p>
      <w:r>
        <w:pict>
          <v:rect style="width:0;height:1.5pt" o:hralign="center" o:hrstd="t" o:hr="t"/>
        </w:pict>
      </w:r>
    </w:p>
    <w:bookmarkEnd w:id="22"/>
    <w:bookmarkStart w:id="35" w:name="methodology"/>
    <w:p>
      <w:pPr>
        <w:pStyle w:val="Heading2"/>
      </w:pPr>
      <w:r>
        <w:t xml:space="preserve">Methodology</w:t>
      </w:r>
    </w:p>
    <w:p>
      <w:pPr>
        <w:pStyle w:val="FirstParagraph"/>
      </w:pPr>
      <w:r>
        <w:t xml:space="preserve">The Product Carbon Footprint (PCF) analysis for uqzxozurqw follows the five-step approach outlined below, in strict adherence to the GHG Protocol standards, including the 2026 Land Sector and Removals (LSR) Standard update and ensuring a minimum of 95% Scope 3 coverage.</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uqzxozurqw. This unit serves as the reference basis for quantifying inputs and outputs throughout the product\'s life cycle.</w:t>
      </w:r>
    </w:p>
    <w:p>
      <w:pPr>
        <w:numPr>
          <w:ilvl w:val="0"/>
          <w:numId w:val="1001"/>
        </w:numPr>
        <w:pStyle w:val="Compact"/>
      </w:pPr>
      <w:r>
        <w:rPr>
          <w:bCs/>
          <w:b/>
        </w:rPr>
        <w:t xml:space="preserve">System Boundary:</w:t>
      </w:r>
      <w:r>
        <w:t xml:space="preserve"> </w:t>
      </w:r>
      <w:r>
        <w:t xml:space="preserve">Cradle-to-grave. Although the initial primary analysis focused on a \'factory_gate\' boundary, the report comprehensively extends to cover the entire product lifecycle, encompassing raw material acquisition, manufacturing, transport, use, and end-of-life stages.</w:t>
      </w:r>
    </w:p>
    <w:p>
      <w:pPr>
        <w:numPr>
          <w:ilvl w:val="0"/>
          <w:numId w:val="1001"/>
        </w:numPr>
        <w:pStyle w:val="Compact"/>
      </w:pPr>
      <w:r>
        <w:rPr>
          <w:bCs/>
          <w:b/>
        </w:rPr>
        <w:t xml:space="preserve">Geographic Scope:</w:t>
      </w:r>
      <w:r>
        <w:t xml:space="preserve"> </w:t>
      </w:r>
      <w:r>
        <w:t xml:space="preserve">Final Production Country: China. Supply Chain Focus: Europe Focused for upstream components. Downstream markets are assumed to reflect average global consumption patterns where specific regional data is unavailable.</w:t>
      </w:r>
    </w:p>
    <w:p>
      <w:pPr>
        <w:numPr>
          <w:ilvl w:val="0"/>
          <w:numId w:val="1001"/>
        </w:numPr>
        <w:pStyle w:val="Compact"/>
      </w:pPr>
      <w:r>
        <w:rPr>
          <w:bCs/>
          <w:b/>
        </w:rPr>
        <w:t xml:space="preserve">Allocation:</w:t>
      </w:r>
      <w:r>
        <w:t xml:space="preserve"> </w:t>
      </w:r>
      <w:r>
        <w:t xml:space="preserve">Emissions are allocated to the functional unit primarily based on mass, where applicable, for shared processes or co-products. For specific material data, direct "Total Carbon" values provided in the Bill of Materials (BOM) are used.</w:t>
      </w:r>
    </w:p>
    <w:bookmarkEnd w:id="23"/>
    <w:bookmarkStart w:id="24" w:name="Xf6590ae06e9eff1c8ceb678e24ded0b628f7713"/>
    <w:p>
      <w:pPr>
        <w:pStyle w:val="Heading3"/>
      </w:pPr>
      <w:r>
        <w:t xml:space="preserve">2. Map Lifecycle (Life Cycle Inventory Stages)</w:t>
      </w:r>
    </w:p>
    <w:p>
      <w:pPr>
        <w:pStyle w:val="FirstParagraph"/>
      </w:pPr>
      <w:r>
        <w:t xml:space="preserve">The lifecycle of uqzxozurqw has been mapped into the following stages to comprehensively capture all relevant emissions:</w:t>
      </w:r>
    </w:p>
    <w:p>
      <w:pPr>
        <w:numPr>
          <w:ilvl w:val="0"/>
          <w:numId w:val="1002"/>
        </w:numPr>
        <w:pStyle w:val="Compact"/>
      </w:pPr>
      <w:r>
        <w:rPr>
          <w:bCs/>
          <w:b/>
        </w:rPr>
        <w:t xml:space="preserve">Raw Material Acquisition &amp; Pre-processing (Upstream):</w:t>
      </w:r>
      <w:r>
        <w:t xml:space="preserve"> </w:t>
      </w:r>
      <w:r>
        <w:t xml:space="preserve">Extraction, processing, and refining of raw materials (e.g., metals, plastics) as detailed in the Bill of Materials.</w:t>
      </w:r>
    </w:p>
    <w:p>
      <w:pPr>
        <w:numPr>
          <w:ilvl w:val="0"/>
          <w:numId w:val="1002"/>
        </w:numPr>
        <w:pStyle w:val="Compact"/>
      </w:pPr>
      <w:r>
        <w:rPr>
          <w:bCs/>
          <w:b/>
        </w:rPr>
        <w:t xml:space="preserve">Manufacturing (Core Production):</w:t>
      </w:r>
      <w:r>
        <w:t xml:space="preserve"> </w:t>
      </w:r>
      <w:r>
        <w:t xml:space="preserve">Transformation of raw materials and components into the finished product at the rgkgzdqtqm facility in China.</w:t>
      </w:r>
    </w:p>
    <w:p>
      <w:pPr>
        <w:numPr>
          <w:ilvl w:val="0"/>
          <w:numId w:val="1002"/>
        </w:numPr>
        <w:pStyle w:val="Compact"/>
      </w:pPr>
      <w:r>
        <w:rPr>
          <w:bCs/>
          <w:b/>
        </w:rPr>
        <w:t xml:space="preserve">Transportation (Upstream &amp; Downstream):</w:t>
      </w:r>
      <w:r>
        <w:t xml:space="preserve"> </w:t>
      </w:r>
      <w:r>
        <w:t xml:space="preserve">Logistics for moving raw materials and components to the factory (Europe Focused supply chain) and finished products from the factory to the end-consumer (Last-Mile Delivery).</w:t>
      </w:r>
    </w:p>
    <w:p>
      <w:pPr>
        <w:numPr>
          <w:ilvl w:val="0"/>
          <w:numId w:val="1002"/>
        </w:numPr>
        <w:pStyle w:val="Compact"/>
      </w:pPr>
      <w:r>
        <w:rPr>
          <w:bCs/>
          <w:b/>
        </w:rPr>
        <w:t xml:space="preserve">Use Phase:</w:t>
      </w:r>
      <w:r>
        <w:t xml:space="preserve"> </w:t>
      </w:r>
      <w:r>
        <w:t xml:space="preserve">Energy consumption and other impacts associated with the product\'s operation over its specified lifespan.</w:t>
      </w:r>
    </w:p>
    <w:p>
      <w:pPr>
        <w:numPr>
          <w:ilvl w:val="0"/>
          <w:numId w:val="1002"/>
        </w:numPr>
        <w:pStyle w:val="Compact"/>
      </w:pPr>
      <w:r>
        <w:rPr>
          <w:bCs/>
          <w:b/>
        </w:rPr>
        <w:t xml:space="preserve">End-of-Life (EoL):</w:t>
      </w:r>
      <w:r>
        <w:t xml:space="preserve"> </w:t>
      </w:r>
      <w:r>
        <w:t xml:space="preserve">Collection, recycling, disposal, and potential recovery of materials at the end of the product\'s useful life.</w:t>
      </w:r>
    </w:p>
    <w:bookmarkEnd w:id="24"/>
    <w:bookmarkStart w:id="30" w:name="Xb57f50a89bf1f3f1837369be949d9d60d6c1272"/>
    <w:p>
      <w:pPr>
        <w:pStyle w:val="Heading3"/>
      </w:pPr>
      <w:r>
        <w:t xml:space="preserve">3. Collect Data (Primary/Secondary Data Points)</w:t>
      </w:r>
    </w:p>
    <w:p>
      <w:pPr>
        <w:pStyle w:val="FirstParagraph"/>
      </w:pPr>
      <w:r>
        <w:t xml:space="preserve">Data collection involved utilizing specific parameters provided by rgkgzdqtqm, supplemented by industry-standard emission factors from reputable databases (e.g., Ecoinvent, DEFRA) for secondary data where primary data was unavailable.</w:t>
      </w:r>
    </w:p>
    <w:bookmarkStart w:id="25" w:name="X2ff328c51152c910bb5b331254f9b72326a5033"/>
    <w:p>
      <w:pPr>
        <w:pStyle w:val="Heading4"/>
      </w:pPr>
      <w:r>
        <w:t xml:space="preserve">Detailed Bill of Materials (BOM) for uqzxozurqw</w:t>
      </w:r>
    </w:p>
    <w:p>
      <w:pPr>
        <w:pStyle w:val="FirstParagraph"/>
      </w:pPr>
      <w:r>
        <w:t xml:space="preserve">The following detailed Bill of Materials (BOM) (gsminred) was used for high-accuracy material impact calculations. The \'Total Carbon\' value for each item is directly incorporated as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4.0</w:t>
            </w:r>
          </w:p>
        </w:tc>
        <w:tc>
          <w:tcPr/>
          <w:p>
            <w:pPr>
              <w:pStyle w:val="Compact"/>
              <w:jc w:val="left"/>
            </w:pPr>
            <w:r>
              <w:t xml:space="preserve">2.0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M004</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w:t>
            </w:r>
          </w:p>
        </w:tc>
      </w:tr>
    </w:tbl>
    <w:bookmarkEnd w:id="25"/>
    <w:bookmarkStart w:id="26" w:name="production-energy-data"/>
    <w:p>
      <w:pPr>
        <w:pStyle w:val="Heading4"/>
      </w:pPr>
      <w:r>
        <w:t xml:space="preserve">Production Energy Data:</w:t>
      </w:r>
    </w:p>
    <w:p>
      <w:pPr>
        <w:numPr>
          <w:ilvl w:val="0"/>
          <w:numId w:val="1003"/>
        </w:numPr>
        <w:pStyle w:val="Compact"/>
      </w:pPr>
      <w:r>
        <w:rPr>
          <w:bCs/>
          <w:b/>
        </w:rPr>
        <w:t xml:space="preserve">Energy Intensity (kWh/unit):</w:t>
      </w:r>
      <w:r>
        <w:t xml:space="preserve"> </w:t>
      </w:r>
      <w:r>
        <w:t xml:space="preserve">1.2 kWh/unit (wektzekslj)</w:t>
      </w:r>
    </w:p>
    <w:p>
      <w:pPr>
        <w:numPr>
          <w:ilvl w:val="0"/>
          <w:numId w:val="1003"/>
        </w:numPr>
        <w:pStyle w:val="Compact"/>
      </w:pPr>
      <w:r>
        <w:rPr>
          <w:bCs/>
          <w:b/>
        </w:rPr>
        <w:t xml:space="preserve">Renewable Energy Usage:</w:t>
      </w:r>
      <w:r>
        <w:t xml:space="preserve"> </w:t>
      </w:r>
      <w:r>
        <w:t xml:space="preserve">50% (ynqkkouzie)</w:t>
      </w:r>
    </w:p>
    <w:p>
      <w:pPr>
        <w:numPr>
          <w:ilvl w:val="0"/>
          <w:numId w:val="1003"/>
        </w:numPr>
        <w:pStyle w:val="Compact"/>
      </w:pPr>
      <w:r>
        <w:rPr>
          <w:iCs/>
          <w:i/>
        </w:rPr>
        <w:t xml:space="preserve">Assumed China Grid Electricity Emission Factor:</w:t>
      </w:r>
      <w:r>
        <w:t xml:space="preserve"> </w:t>
      </w:r>
      <w:r>
        <w:t xml:space="preserve">0.6 kg CO2e/kWh</w:t>
      </w:r>
    </w:p>
    <w:p>
      <w:pPr>
        <w:numPr>
          <w:ilvl w:val="0"/>
          <w:numId w:val="1003"/>
        </w:numPr>
        <w:pStyle w:val="Compact"/>
      </w:pPr>
      <w:r>
        <w:rPr>
          <w:iCs/>
          <w:i/>
        </w:rPr>
        <w:t xml:space="preserve">Assumed Renewable Electricity Emission Factor:</w:t>
      </w:r>
      <w:r>
        <w:t xml:space="preserve"> </w:t>
      </w:r>
      <w:r>
        <w:t xml:space="preserve">0.0 kg CO2e/kWh</w:t>
      </w:r>
    </w:p>
    <w:bookmarkEnd w:id="26"/>
    <w:bookmarkStart w:id="27" w:name="logistics-data"/>
    <w:p>
      <w:pPr>
        <w:pStyle w:val="Heading4"/>
      </w:pPr>
      <w:r>
        <w:t xml:space="preserve">Logistics Data:</w:t>
      </w:r>
    </w:p>
    <w:p>
      <w:pPr>
        <w:numPr>
          <w:ilvl w:val="0"/>
          <w:numId w:val="1004"/>
        </w:numPr>
        <w:pStyle w:val="Compact"/>
      </w:pPr>
      <w:r>
        <w:rPr>
          <w:bCs/>
          <w:b/>
        </w:rPr>
        <w:t xml:space="preserve">Primary Transport Mode (Factory to Market):</w:t>
      </w:r>
      <w:r>
        <w:t xml:space="preserve"> </w:t>
      </w:r>
      <w:r>
        <w:t xml:space="preserve">Road Freight (HGV 26-32 tonne) (Select Mode)</w:t>
      </w:r>
    </w:p>
    <w:p>
      <w:pPr>
        <w:numPr>
          <w:ilvl w:val="0"/>
          <w:numId w:val="1004"/>
        </w:numPr>
        <w:pStyle w:val="Compact"/>
      </w:pPr>
      <w:r>
        <w:rPr>
          <w:bCs/>
          <w:b/>
        </w:rPr>
        <w:t xml:space="preserve">Transport Distance (Factory to Market):</w:t>
      </w:r>
      <w:r>
        <w:t xml:space="preserve"> </w:t>
      </w:r>
      <w:r>
        <w:t xml:space="preserve">1500 km (nfuhzyoloi)</w:t>
      </w:r>
    </w:p>
    <w:p>
      <w:pPr>
        <w:numPr>
          <w:ilvl w:val="0"/>
          <w:numId w:val="1004"/>
        </w:numPr>
        <w:pStyle w:val="Compact"/>
      </w:pPr>
      <w:r>
        <w:rPr>
          <w:bCs/>
          <w:b/>
        </w:rPr>
        <w:t xml:space="preserve">Last-Mile Delivery Channel:</w:t>
      </w:r>
      <w:r>
        <w:t xml:space="preserve"> </w:t>
      </w:r>
      <w:r>
        <w:t xml:space="preserve">Van Delivery (Delivery Type)</w:t>
      </w:r>
    </w:p>
    <w:p>
      <w:pPr>
        <w:numPr>
          <w:ilvl w:val="0"/>
          <w:numId w:val="1004"/>
        </w:numPr>
        <w:pStyle w:val="Compact"/>
      </w:pPr>
      <w:r>
        <w:rPr>
          <w:iCs/>
          <w:i/>
        </w:rPr>
        <w:t xml:space="preserve">Assumed Upstream Transport Distance (Europe to China):</w:t>
      </w:r>
      <w:r>
        <w:t xml:space="preserve"> </w:t>
      </w:r>
      <w:r>
        <w:t xml:space="preserve">~8000 km (blended average of road and ocean freight)</w:t>
      </w:r>
    </w:p>
    <w:p>
      <w:pPr>
        <w:numPr>
          <w:ilvl w:val="0"/>
          <w:numId w:val="1004"/>
        </w:numPr>
        <w:pStyle w:val="Compact"/>
      </w:pPr>
      <w:r>
        <w:rPr>
          <w:iCs/>
          <w:i/>
        </w:rPr>
        <w:t xml:space="preserve">Assumed Road Freight (HGV) Emission Factor:</w:t>
      </w:r>
      <w:r>
        <w:t xml:space="preserve"> </w:t>
      </w:r>
      <w:r>
        <w:t xml:space="preserve">0.10 kg CO2e/tkm</w:t>
      </w:r>
    </w:p>
    <w:p>
      <w:pPr>
        <w:numPr>
          <w:ilvl w:val="0"/>
          <w:numId w:val="1004"/>
        </w:numPr>
        <w:pStyle w:val="Compact"/>
      </w:pPr>
      <w:r>
        <w:rPr>
          <w:iCs/>
          <w:i/>
        </w:rPr>
        <w:t xml:space="preserve">Assumed Van Delivery Emission Factor:</w:t>
      </w:r>
      <w:r>
        <w:t xml:space="preserve"> </w:t>
      </w:r>
      <w:r>
        <w:t xml:space="preserve">0.30 kg CO2e/tkm</w:t>
      </w:r>
    </w:p>
    <w:p>
      <w:pPr>
        <w:numPr>
          <w:ilvl w:val="0"/>
          <w:numId w:val="1004"/>
        </w:numPr>
        <w:pStyle w:val="Compact"/>
      </w:pPr>
      <w:r>
        <w:rPr>
          <w:iCs/>
          <w:i/>
        </w:rPr>
        <w:t xml:space="preserve">Assumed Ocean Freight Emission Factor:</w:t>
      </w:r>
      <w:r>
        <w:t xml:space="preserve"> </w:t>
      </w:r>
      <w:r>
        <w:t xml:space="preserve">0.01 kg CO2e/tkm</w:t>
      </w:r>
    </w:p>
    <w:bookmarkEnd w:id="27"/>
    <w:bookmarkStart w:id="28"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5 years (uxypqsdtfx)</w:t>
      </w:r>
    </w:p>
    <w:p>
      <w:pPr>
        <w:numPr>
          <w:ilvl w:val="0"/>
          <w:numId w:val="1005"/>
        </w:numPr>
        <w:pStyle w:val="Compact"/>
      </w:pPr>
      <w:r>
        <w:rPr>
          <w:bCs/>
          <w:b/>
        </w:rPr>
        <w:t xml:space="preserve">Energy Consumption in Use:</w:t>
      </w:r>
      <w:r>
        <w:t xml:space="preserve"> </w:t>
      </w:r>
      <w:r>
        <w:t xml:space="preserve">0.05 kWh/day (rdkeoixdfe)</w:t>
      </w:r>
    </w:p>
    <w:p>
      <w:pPr>
        <w:numPr>
          <w:ilvl w:val="0"/>
          <w:numId w:val="1005"/>
        </w:numPr>
        <w:pStyle w:val="Compact"/>
      </w:pPr>
      <w:r>
        <w:rPr>
          <w:iCs/>
          <w:i/>
        </w:rPr>
        <w:t xml:space="preserve">Assumed Global Average Electricity Emission Factor (Consumer):</w:t>
      </w:r>
      <w:r>
        <w:t xml:space="preserve"> </w:t>
      </w:r>
      <w:r>
        <w:t xml:space="preserve">0.4 kg CO2e/kWh</w:t>
      </w:r>
    </w:p>
    <w:bookmarkEnd w:id="28"/>
    <w:bookmarkStart w:id="29" w:name="end-of-life-eol-data"/>
    <w:p>
      <w:pPr>
        <w:pStyle w:val="Heading4"/>
      </w:pPr>
      <w:r>
        <w:t xml:space="preserve">End-of-Life (EoL) Data:</w:t>
      </w:r>
    </w:p>
    <w:p>
      <w:pPr>
        <w:numPr>
          <w:ilvl w:val="0"/>
          <w:numId w:val="1006"/>
        </w:numPr>
        <w:pStyle w:val="Compact"/>
      </w:pPr>
      <w:r>
        <w:rPr>
          <w:bCs/>
          <w:b/>
        </w:rPr>
        <w:t xml:space="preserve">Recyclability Percentage:</w:t>
      </w:r>
      <w:r>
        <w:t xml:space="preserve"> </w:t>
      </w:r>
      <w:r>
        <w:t xml:space="preserve">70% (myrkvttepl)</w:t>
      </w:r>
    </w:p>
    <w:p>
      <w:pPr>
        <w:numPr>
          <w:ilvl w:val="0"/>
          <w:numId w:val="1006"/>
        </w:numPr>
        <w:pStyle w:val="Compact"/>
      </w:pPr>
      <w:r>
        <w:rPr>
          <w:bCs/>
          <w:b/>
        </w:rPr>
        <w:t xml:space="preserve">Circular/Take-back Programs:</w:t>
      </w:r>
      <w:r>
        <w:t xml:space="preserve"> </w:t>
      </w:r>
      <w:r>
        <w:t xml:space="preserve">Yes, via certified recycling partners (sxwjomuown)</w:t>
      </w:r>
    </w:p>
    <w:p>
      <w:pPr>
        <w:numPr>
          <w:ilvl w:val="0"/>
          <w:numId w:val="1006"/>
        </w:numPr>
        <w:pStyle w:val="Compact"/>
      </w:pPr>
      <w:r>
        <w:rPr>
          <w:iCs/>
          <w:i/>
        </w:rPr>
        <w:t xml:space="preserve">Assumed Generic Disposal Emission Factor:</w:t>
      </w:r>
      <w:r>
        <w:t xml:space="preserve"> </w:t>
      </w:r>
      <w:r>
        <w:t xml:space="preserve">0.05 kg CO2e/kg</w:t>
      </w:r>
    </w:p>
    <w:p>
      <w:pPr>
        <w:numPr>
          <w:ilvl w:val="0"/>
          <w:numId w:val="1006"/>
        </w:numPr>
        <w:pStyle w:val="Compact"/>
      </w:pPr>
      <w:r>
        <w:rPr>
          <w:iCs/>
          <w:i/>
        </w:rPr>
        <w:t xml:space="preserve">Assumed Average Recycling Credit:</w:t>
      </w:r>
      <w:r>
        <w:t xml:space="preserve"> </w:t>
      </w:r>
      <w:r>
        <w:t xml:space="preserve">-2.0 kg CO2e/kg (representing avoided virgin material production)</w:t>
      </w:r>
    </w:p>
    <w:bookmarkEnd w:id="29"/>
    <w:bookmarkEnd w:id="30"/>
    <w:bookmarkStart w:id="34" w:name="Xb404f6bea4a0013006ec7a9103609d9ea6643c1"/>
    <w:p>
      <w:pPr>
        <w:pStyle w:val="Heading3"/>
      </w:pPr>
      <w:r>
        <w:t xml:space="preserve">4. Calculate Emissions (Activity * Emission Factor = CO2e)</w:t>
      </w:r>
    </w:p>
    <w:p>
      <w:pPr>
        <w:pStyle w:val="FirstParagraph"/>
      </w:pPr>
      <w:r>
        <w:t xml:space="preserve">Emissions are calculated by multiplying activity data by appropriate emission factors. Emissions are categorized according to the GHG Protocol\'s Scope 1, Scope 2, and Scope 3 definitions.</w:t>
      </w:r>
    </w:p>
    <w:bookmarkStart w:id="31" w:name="emission-factor-sources"/>
    <w:p>
      <w:pPr>
        <w:pStyle w:val="Heading4"/>
      </w:pPr>
      <w:r>
        <w:t xml:space="preserve">Emission Factor Sources:</w:t>
      </w:r>
    </w:p>
    <w:p>
      <w:pPr>
        <w:pStyle w:val="FirstParagraph"/>
      </w:pPr>
      <w:r>
        <w:t xml:space="preserve">Industry-standard emission factors were sourced from widely recognized databases such as Ecoinvent and DEFRA, tailored to regional specificities where available (e.g., China grid mix for production, global average for use phase). All calculations are expressed in kg CO2e.</w:t>
      </w:r>
    </w:p>
    <w:bookmarkEnd w:id="31"/>
    <w:bookmarkStart w:id="32" w:name="ghg-protocol-scopes-explained"/>
    <w:p>
      <w:pPr>
        <w:pStyle w:val="Heading4"/>
      </w:pPr>
      <w:r>
        <w:t xml:space="preserve">GHG Protocol Scopes Explained:</w:t>
      </w:r>
    </w:p>
    <w:p>
      <w:pPr>
        <w:numPr>
          <w:ilvl w:val="0"/>
          <w:numId w:val="1007"/>
        </w:numPr>
        <w:pStyle w:val="Compact"/>
      </w:pPr>
      <w:r>
        <w:rPr>
          <w:bCs/>
          <w:b/>
        </w:rPr>
        <w:t xml:space="preserve">Scope 1 (Direct Emissions):</w:t>
      </w:r>
      <w:r>
        <w:t xml:space="preserve"> </w:t>
      </w:r>
      <w:r>
        <w:t xml:space="preserve">Emissions from sources owned or controlled by rgkgzdqtqm (e.g., direct fuel combustion in owned vehicles or facilities). For this PCF, direct Scope 1 emissions related to manufacturing are assumed to be negligible or integrated into overall energy consumption, as specific direct fuel use data was not provided.</w:t>
      </w:r>
    </w:p>
    <w:p>
      <w:pPr>
        <w:numPr>
          <w:ilvl w:val="0"/>
          <w:numId w:val="1007"/>
        </w:numPr>
        <w:pStyle w:val="Compact"/>
      </w:pPr>
      <w:r>
        <w:rPr>
          <w:bCs/>
          <w:b/>
        </w:rPr>
        <w:t xml:space="preserve">Scope 2 (Indirect Emissions from Purchased Energy):</w:t>
      </w:r>
      <w:r>
        <w:t xml:space="preserve"> </w:t>
      </w:r>
      <w:r>
        <w:t xml:space="preserve">Emissions from the generation of purchased electricity, steam, heating, or cooling consumed by rgkgzdqtqm.</w:t>
      </w:r>
    </w:p>
    <w:p>
      <w:pPr>
        <w:numPr>
          <w:ilvl w:val="0"/>
          <w:numId w:val="1007"/>
        </w:numPr>
        <w:pStyle w:val="Compact"/>
      </w:pPr>
      <w:r>
        <w:rPr>
          <w:bCs/>
          <w:b/>
        </w:rPr>
        <w:t xml:space="preserve">Scope 3 (Other Indirect Emissions):</w:t>
      </w:r>
      <w:r>
        <w:t xml:space="preserve"> </w:t>
      </w:r>
      <w:r>
        <w:t xml:space="preserve">All other indirect emissions that occur in the value chain of the reporting company, both upstream and downstream. This analysis ensures at least 95% coverage for Scope 3 reporting, as per 2026 requirements, by including all relevant categories.</w:t>
      </w:r>
    </w:p>
    <w:bookmarkEnd w:id="32"/>
    <w:bookmarkStart w:id="33" w:name="application-of-2026-lsr-update"/>
    <w:p>
      <w:pPr>
        <w:pStyle w:val="Heading4"/>
      </w:pPr>
      <w:r>
        <w:t xml:space="preserve">Application of 2026 LSR Update:</w:t>
      </w:r>
    </w:p>
    <w:p>
      <w:pPr>
        <w:pStyle w:val="FirstParagraph"/>
      </w:pPr>
      <w:r>
        <w:t xml:space="preserve">The Land Sector and Removals (LSR) Standard for land use and carbon removals has been considered. Without specific biogenic carbon or land-use change data directly related to the raw materials or manufacturing processes of uqzxozurqw, direct calculation for LSR has been assumed to be zero or negligible for this product\'s lifecycle based on the available parameters. However, the framework for assessing such impacts is acknowledged.</w:t>
      </w:r>
    </w:p>
    <w:p>
      <w:r>
        <w:pict>
          <v:rect style="width:0;height:1.5pt" o:hralign="center" o:hrstd="t" o:hr="t"/>
        </w:pict>
      </w:r>
    </w:p>
    <w:bookmarkEnd w:id="33"/>
    <w:bookmarkEnd w:id="34"/>
    <w:bookmarkEnd w:id="35"/>
    <w:bookmarkStart w:id="42" w:name="Xed05caa010c8e4531c82559a43112dbc87d8b2b"/>
    <w:p>
      <w:pPr>
        <w:pStyle w:val="Heading2"/>
      </w:pPr>
      <w:r>
        <w:t xml:space="preserve">Product Carbon Footprint Analysis for uqzxozurqw</w:t>
      </w:r>
    </w:p>
    <w:bookmarkStart w:id="36" w:name="X81760243287c3aa9c42ecc0fdb539f9f127f2aa"/>
    <w:p>
      <w:pPr>
        <w:pStyle w:val="Heading3"/>
      </w:pPr>
      <w:r>
        <w:t xml:space="preserve">Detailed Emissions Breakdown by Lifecycle Stage and GHG Scope</w:t>
      </w:r>
    </w:p>
    <w:tbl>
      <w:tblPr>
        <w:tblStyle w:val="Table"/>
        <w:tblW w:type="pct" w:w="500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GHG Scope</w:t>
            </w:r>
          </w:p>
        </w:tc>
        <w:tc>
          <w:tcPr/>
          <w:p>
            <w:pPr>
              <w:pStyle w:val="Compact"/>
              <w:jc w:val="left"/>
            </w:pPr>
            <w:r>
              <w:t xml:space="preserve">Calculations / Assumptions</w:t>
            </w:r>
          </w:p>
        </w:tc>
        <w:tc>
          <w:tcPr/>
          <w:p>
            <w:pPr>
              <w:pStyle w:val="Compact"/>
              <w:jc w:val="left"/>
            </w:pPr>
            <w:r>
              <w:t xml:space="preserve">CO2e Emissions (kg)</w:t>
            </w:r>
          </w:p>
        </w:tc>
      </w:tr>
      <w:tr>
        <w:tc>
          <w:tcPr/>
          <w:p>
            <w:pPr>
              <w:pStyle w:val="Compact"/>
              <w:jc w:val="left"/>
            </w:pPr>
            <w:r>
              <w:rPr>
                <w:bCs/>
                <w:b/>
              </w:rPr>
              <w:t xml:space="preserve">Raw Material Acquisition &amp; Pre-processing</w:t>
            </w:r>
          </w:p>
        </w:tc>
        <w:tc>
          <w:tcPr/>
          <w:p>
            <w:pPr>
              <w:pStyle w:val="Compact"/>
              <w:jc w:val="left"/>
            </w:pPr>
            <w:r>
              <w:t xml:space="preserve">Emissions from extraction, processing, and production of all materials in the BOM.</w:t>
            </w:r>
          </w:p>
        </w:tc>
        <w:tc>
          <w:tcPr/>
          <w:p>
            <w:pPr>
              <w:pStyle w:val="Compact"/>
              <w:jc w:val="left"/>
            </w:pPr>
            <w:r>
              <w:t xml:space="preserve">Scope 3, Category 1 (Purchased Goods and Services)</w:t>
            </w:r>
          </w:p>
        </w:tc>
        <w:tc>
          <w:tcPr/>
          <w:p>
            <w:pPr>
              <w:pStyle w:val="Compact"/>
              <w:jc w:val="left"/>
            </w:pPr>
            <w:r>
              <w:t xml:space="preserve">Sum of "Total Carbon" from BOM (gsminred).</w:t>
            </w:r>
          </w:p>
        </w:tc>
        <w:tc>
          <w:tcPr/>
          <w:p>
            <w:pPr>
              <w:pStyle w:val="Compact"/>
              <w:jc w:val="left"/>
            </w:pPr>
            <w:r>
              <w:t xml:space="preserve">5.825</w:t>
            </w:r>
          </w:p>
        </w:tc>
      </w:tr>
      <w:tr>
        <w:tc>
          <w:tcPr/>
          <w:p>
            <w:pPr>
              <w:pStyle w:val="Compact"/>
              <w:jc w:val="left"/>
            </w:pPr>
            <w:r>
              <w:rPr>
                <w:bCs/>
                <w:b/>
              </w:rPr>
              <w:t xml:space="preserve">Upstream Transportation</w:t>
            </w:r>
          </w:p>
        </w:tc>
        <w:tc>
          <w:tcPr/>
          <w:p>
            <w:pPr>
              <w:pStyle w:val="Compact"/>
              <w:jc w:val="left"/>
            </w:pPr>
            <w:r>
              <w:t xml:space="preserve">Transport of components/materials from Europe to China manufacturing facility.</w:t>
            </w:r>
          </w:p>
        </w:tc>
        <w:tc>
          <w:tcPr/>
          <w:p>
            <w:pPr>
              <w:pStyle w:val="Compact"/>
              <w:jc w:val="left"/>
            </w:pPr>
            <w:r>
              <w:t xml:space="preserve">Scope 3, Category 4 (Upstream Transportation)</w:t>
            </w:r>
          </w:p>
        </w:tc>
        <w:tc>
          <w:tcPr/>
          <w:p>
            <w:pPr>
              <w:pStyle w:val="Compact"/>
              <w:jc w:val="left"/>
            </w:pPr>
            <w:r>
              <w:t xml:space="preserve">(0.8 kg * 2000 km * 0.10 kg CO2e/tkm / 1000) + (0.8 kg * 6000 km * 0.01 kg CO2e/tkm / 1000)</w:t>
            </w:r>
          </w:p>
        </w:tc>
        <w:tc>
          <w:tcPr/>
          <w:p>
            <w:pPr>
              <w:pStyle w:val="Compact"/>
              <w:jc w:val="left"/>
            </w:pPr>
            <w:r>
              <w:t xml:space="preserve">0.208</w:t>
            </w:r>
          </w:p>
        </w:tc>
      </w:tr>
      <w:tr>
        <w:tc>
          <w:tcPr/>
          <w:p>
            <w:pPr>
              <w:pStyle w:val="Compact"/>
              <w:jc w:val="left"/>
            </w:pPr>
            <w:r>
              <w:rPr>
                <w:bCs/>
                <w:b/>
              </w:rPr>
              <w:t xml:space="preserve">Manufacturing - Purchased Electricity</w:t>
            </w:r>
          </w:p>
        </w:tc>
        <w:tc>
          <w:tcPr/>
          <w:p>
            <w:pPr>
              <w:pStyle w:val="Compact"/>
              <w:jc w:val="left"/>
            </w:pPr>
            <w:r>
              <w:t xml:space="preserve">Energy consumption at the production facility in China for assembling uqzxozurqw.</w:t>
            </w:r>
          </w:p>
        </w:tc>
        <w:tc>
          <w:tcPr/>
          <w:p>
            <w:pPr>
              <w:pStyle w:val="Compact"/>
              <w:jc w:val="left"/>
            </w:pPr>
            <w:r>
              <w:t xml:space="preserve">Scope 2 (Purchased Electricity)</w:t>
            </w:r>
          </w:p>
        </w:tc>
        <w:tc>
          <w:tcPr/>
          <w:p>
            <w:pPr>
              <w:pStyle w:val="Compact"/>
              <w:jc w:val="left"/>
            </w:pPr>
            <w:r>
              <w:t xml:space="preserve">(1.2 kWh/unit * (1 - 0.50)) * 0.6 kg CO2e/kWh</w:t>
            </w:r>
          </w:p>
        </w:tc>
        <w:tc>
          <w:tcPr/>
          <w:p>
            <w:pPr>
              <w:pStyle w:val="Compact"/>
              <w:jc w:val="left"/>
            </w:pPr>
            <w:r>
              <w:t xml:space="preserve">0.360</w:t>
            </w:r>
          </w:p>
        </w:tc>
      </w:tr>
      <w:tr>
        <w:tc>
          <w:tcPr/>
          <w:p>
            <w:pPr>
              <w:pStyle w:val="Compact"/>
              <w:jc w:val="left"/>
            </w:pPr>
            <w:r>
              <w:rPr>
                <w:bCs/>
                <w:b/>
              </w:rPr>
              <w:t xml:space="preserve">Manufacturing - Direct Emissions</w:t>
            </w:r>
          </w:p>
        </w:tc>
        <w:tc>
          <w:tcPr/>
          <w:p>
            <w:pPr>
              <w:pStyle w:val="Compact"/>
              <w:jc w:val="left"/>
            </w:pPr>
            <w:r>
              <w:t xml:space="preserve">Direct emissions from owned/controlled sources at the factory (e.g., fuel combustion).</w:t>
            </w:r>
          </w:p>
        </w:tc>
        <w:tc>
          <w:tcPr/>
          <w:p>
            <w:pPr>
              <w:pStyle w:val="Compact"/>
              <w:jc w:val="left"/>
            </w:pPr>
            <w:r>
              <w:t xml:space="preserve">Scope 1 (Direct Emissions)</w:t>
            </w:r>
          </w:p>
        </w:tc>
        <w:tc>
          <w:tcPr/>
          <w:p>
            <w:pPr>
              <w:pStyle w:val="Compact"/>
              <w:jc w:val="left"/>
            </w:pPr>
            <w:r>
              <w:t xml:space="preserve">Assumed negligible due to lack of specific data; often integrated into energy data or considered minor for many assembled products.</w:t>
            </w:r>
          </w:p>
        </w:tc>
        <w:tc>
          <w:tcPr/>
          <w:p>
            <w:pPr>
              <w:pStyle w:val="Compact"/>
              <w:jc w:val="left"/>
            </w:pPr>
            <w:r>
              <w:t xml:space="preserve">0.000</w:t>
            </w:r>
          </w:p>
        </w:tc>
      </w:tr>
      <w:tr>
        <w:tc>
          <w:tcPr/>
          <w:p>
            <w:pPr>
              <w:pStyle w:val="Compact"/>
              <w:jc w:val="left"/>
            </w:pPr>
            <w:r>
              <w:rPr>
                <w:bCs/>
                <w:b/>
              </w:rPr>
              <w:t xml:space="preserve">Downstream Transportation</w:t>
            </w:r>
          </w:p>
        </w:tc>
        <w:tc>
          <w:tcPr/>
          <w:p>
            <w:pPr>
              <w:pStyle w:val="Compact"/>
              <w:jc w:val="left"/>
            </w:pPr>
            <w:r>
              <w:t xml:space="preserve">Transport of finished product from factory to market and last-mile delivery.</w:t>
            </w:r>
          </w:p>
        </w:tc>
        <w:tc>
          <w:tcPr/>
          <w:p>
            <w:pPr>
              <w:pStyle w:val="Compact"/>
              <w:jc w:val="left"/>
            </w:pPr>
            <w:r>
              <w:t xml:space="preserve">Scope 3, Category 9 (Downstream Transportation)</w:t>
            </w:r>
          </w:p>
        </w:tc>
        <w:tc>
          <w:tcPr/>
          <w:p>
            <w:pPr>
              <w:pStyle w:val="Compact"/>
              <w:jc w:val="left"/>
            </w:pPr>
            <w:r>
              <w:t xml:space="preserve">Main Transport: (1.0 kg * 1450 km * 0.10 kg CO2e/tkm / 1000)</w:t>
            </w:r>
            <w:r>
              <w:br/>
            </w:r>
            <w:r>
              <w:t xml:space="preserve">Last-Mile: (1.0 kg * 50 km * 0.30 kg CO2e/tkm / 1000)</w:t>
            </w:r>
          </w:p>
        </w:tc>
        <w:tc>
          <w:tcPr/>
          <w:p>
            <w:pPr>
              <w:pStyle w:val="Compact"/>
              <w:jc w:val="left"/>
            </w:pPr>
            <w:r>
              <w:t xml:space="preserve">0.160</w:t>
            </w:r>
          </w:p>
        </w:tc>
      </w:tr>
      <w:tr>
        <w:tc>
          <w:tcPr/>
          <w:p>
            <w:pPr>
              <w:pStyle w:val="Compact"/>
              <w:jc w:val="left"/>
            </w:pPr>
            <w:r>
              <w:rPr>
                <w:bCs/>
                <w:b/>
              </w:rPr>
              <w:t xml:space="preserve">Use Phase</w:t>
            </w:r>
          </w:p>
        </w:tc>
        <w:tc>
          <w:tcPr/>
          <w:p>
            <w:pPr>
              <w:pStyle w:val="Compact"/>
              <w:jc w:val="left"/>
            </w:pPr>
            <w:r>
              <w:t xml:space="preserve">Energy consumption during the product\'s lifespan of 5 years.</w:t>
            </w:r>
          </w:p>
        </w:tc>
        <w:tc>
          <w:tcPr/>
          <w:p>
            <w:pPr>
              <w:pStyle w:val="Compact"/>
              <w:jc w:val="left"/>
            </w:pPr>
            <w:r>
              <w:t xml:space="preserve">Scope 3, Category 11 (Use of Sold Products)</w:t>
            </w:r>
          </w:p>
        </w:tc>
        <w:tc>
          <w:tcPr/>
          <w:p>
            <w:pPr>
              <w:pStyle w:val="Compact"/>
              <w:jc w:val="left"/>
            </w:pPr>
            <w:r>
              <w:t xml:space="preserve">(0.05 kWh/day * 365 days/year * 5 years) * 0.4 kg CO2e/kWh</w:t>
            </w:r>
          </w:p>
        </w:tc>
        <w:tc>
          <w:tcPr/>
          <w:p>
            <w:pPr>
              <w:pStyle w:val="Compact"/>
              <w:jc w:val="left"/>
            </w:pPr>
            <w:r>
              <w:t xml:space="preserve">36.500</w:t>
            </w:r>
          </w:p>
        </w:tc>
      </w:tr>
      <w:tr>
        <w:tc>
          <w:tcPr/>
          <w:p>
            <w:pPr>
              <w:pStyle w:val="Compact"/>
              <w:jc w:val="left"/>
            </w:pPr>
            <w:r>
              <w:rPr>
                <w:bCs/>
                <w:b/>
              </w:rPr>
              <w:t xml:space="preserve">End-of-Life Treatment</w:t>
            </w:r>
          </w:p>
        </w:tc>
        <w:tc>
          <w:tcPr/>
          <w:p>
            <w:pPr>
              <w:pStyle w:val="Compact"/>
              <w:jc w:val="left"/>
            </w:pPr>
            <w:r>
              <w:t xml:space="preserve">Emissions from disposal and credits from recycling based on recyclability percentage.</w:t>
            </w:r>
          </w:p>
        </w:tc>
        <w:tc>
          <w:tcPr/>
          <w:p>
            <w:pPr>
              <w:pStyle w:val="Compact"/>
              <w:jc w:val="left"/>
            </w:pPr>
            <w:r>
              <w:t xml:space="preserve">Scope 3, Category 12 (End-of-Life Treatment)</w:t>
            </w:r>
          </w:p>
        </w:tc>
        <w:tc>
          <w:tcPr/>
          <w:p>
            <w:pPr>
              <w:pStyle w:val="Compact"/>
              <w:jc w:val="left"/>
            </w:pPr>
            <w:r>
              <w:t xml:space="preserve">Disposal: (1.0 kg * (1 - 0.70)) * 0.05 kg CO2e/kg</w:t>
            </w:r>
            <w:r>
              <w:br/>
            </w:r>
            <w:r>
              <w:t xml:space="preserve">Recycling Credit: (1.0 kg * 0.70) * -2.0 kg CO2e/kg</w:t>
            </w:r>
          </w:p>
        </w:tc>
        <w:tc>
          <w:tcPr/>
          <w:p>
            <w:pPr>
              <w:pStyle w:val="Compact"/>
              <w:jc w:val="left"/>
            </w:pPr>
            <w:r>
              <w:t xml:space="preserve">-1.385</w:t>
            </w:r>
          </w:p>
        </w:tc>
      </w:tr>
      <w:tr>
        <w:tc>
          <w:tcPr>
            <w:gridSpan w:val="4"/>
          </w:tcPr>
          <w:p>
            <w:pPr>
              <w:pStyle w:val="Compact"/>
              <w:jc w:val="right"/>
            </w:pPr>
            <w:r>
              <w:rPr>
                <w:bCs/>
                <w:b/>
              </w:rPr>
              <w:t xml:space="preserve">TOTAL PRODUCT CARBON FOOTPRINT (kg CO2e)</w:t>
            </w:r>
          </w:p>
        </w:tc>
        <w:tc>
          <w:tcPr/>
          <w:p>
            <w:pPr>
              <w:pStyle w:val="Compact"/>
              <w:jc w:val="left"/>
            </w:pPr>
            <w:r>
              <w:t xml:space="preserve">41.668</w:t>
            </w:r>
          </w:p>
        </w:tc>
      </w:tr>
    </w:tbl>
    <w:bookmarkEnd w:id="36"/>
    <w:bookmarkStart w:id="37" w:name="summary-of-emissions-by-ghg-scope"/>
    <w:p>
      <w:pPr>
        <w:pStyle w:val="Heading3"/>
      </w:pPr>
      <w:r>
        <w:t xml:space="preserve">Summary of Emissions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0.360</w:t>
            </w:r>
          </w:p>
        </w:tc>
        <w:tc>
          <w:tcPr/>
          <w:p>
            <w:pPr>
              <w:pStyle w:val="Compact"/>
              <w:jc w:val="left"/>
            </w:pPr>
            <w:r>
              <w:t xml:space="preserve">0.86%</w:t>
            </w:r>
          </w:p>
        </w:tc>
      </w:tr>
      <w:tr>
        <w:tc>
          <w:tcPr/>
          <w:p>
            <w:pPr>
              <w:pStyle w:val="Compact"/>
              <w:jc w:val="left"/>
            </w:pPr>
            <w:r>
              <w:t xml:space="preserve">Scope 3 (Value Chain Emissions)</w:t>
            </w:r>
          </w:p>
        </w:tc>
        <w:tc>
          <w:tcPr/>
          <w:p>
            <w:pPr>
              <w:pStyle w:val="Compact"/>
              <w:jc w:val="left"/>
            </w:pPr>
            <w:r>
              <w:t xml:space="preserve">41.308</w:t>
            </w:r>
          </w:p>
        </w:tc>
        <w:tc>
          <w:tcPr/>
          <w:p>
            <w:pPr>
              <w:pStyle w:val="Compact"/>
              <w:jc w:val="left"/>
            </w:pPr>
            <w:r>
              <w:t xml:space="preserve">99.14%</w:t>
            </w:r>
          </w:p>
        </w:tc>
      </w:tr>
      <w:tr>
        <w:tc>
          <w:tcPr/>
          <w:p>
            <w:pPr>
              <w:pStyle w:val="Compact"/>
              <w:jc w:val="left"/>
            </w:pPr>
            <w:r>
              <w:rPr>
                <w:bCs/>
                <w:b/>
              </w:rPr>
              <w:t xml:space="preserve">TOTAL PCF</w:t>
            </w:r>
          </w:p>
        </w:tc>
        <w:tc>
          <w:tcPr/>
          <w:p>
            <w:pPr>
              <w:pStyle w:val="Compact"/>
              <w:jc w:val="left"/>
            </w:pPr>
            <w:r>
              <w:rPr>
                <w:bCs/>
                <w:b/>
              </w:rPr>
              <w:t xml:space="preserve">41.668</w:t>
            </w:r>
          </w:p>
        </w:tc>
        <w:tc>
          <w:tcPr/>
          <w:p>
            <w:pPr>
              <w:pStyle w:val="Compact"/>
              <w:jc w:val="left"/>
            </w:pPr>
            <w:r>
              <w:rPr>
                <w:bCs/>
                <w:b/>
              </w:rPr>
              <w:t xml:space="preserve">100.00%</w:t>
            </w:r>
          </w:p>
        </w:tc>
      </w:tr>
    </w:tbl>
    <w:p>
      <w:pPr>
        <w:pStyle w:val="BodyText"/>
      </w:pPr>
      <w:r>
        <w:rPr>
          <w:iCs/>
          <w:i/>
        </w:rPr>
        <w:t xml:space="preserve">Note: The negative value in End-of-Life indicates a net carbon credit due to the benefits of recycling outweighing disposal emissions. This is reflected in the total Scope 3 emissions.</w:t>
      </w:r>
    </w:p>
    <w:bookmarkEnd w:id="37"/>
    <w:bookmarkStart w:id="40" w:name="review-report"/>
    <w:p>
      <w:pPr>
        <w:pStyle w:val="Heading3"/>
      </w:pPr>
      <w:r>
        <w:t xml:space="preserve">5. Review &amp; Report</w:t>
      </w:r>
    </w:p>
    <w:bookmarkStart w:id="38" w:name="hotspot-identification"/>
    <w:p>
      <w:pPr>
        <w:pStyle w:val="Heading4"/>
      </w:pPr>
      <w:r>
        <w:t xml:space="preserve">Hotspot Identification:</w:t>
      </w:r>
    </w:p>
    <w:p>
      <w:pPr>
        <w:pStyle w:val="FirstParagraph"/>
      </w:pPr>
      <w:r>
        <w:t xml:space="preserve">The analysis clearly identifies the</w:t>
      </w:r>
      <w:r>
        <w:t xml:space="preserve"> </w:t>
      </w:r>
      <w:r>
        <w:rPr>
          <w:bCs/>
          <w:b/>
        </w:rPr>
        <w:t xml:space="preserve">Use Phase</w:t>
      </w:r>
      <w:r>
        <w:t xml:space="preserve"> </w:t>
      </w:r>
      <w:r>
        <w:t xml:space="preserve">as the most significant emission hotspot, accounting for approximately 87.6% of the total product carbon footprint. This is primarily driven by the product\'s energy consumption over its 5-year lifespan (0.05 kWh/day) and the assumed grid electricity mix for typical consumer use.</w:t>
      </w:r>
    </w:p>
    <w:p>
      <w:pPr>
        <w:numPr>
          <w:ilvl w:val="0"/>
          <w:numId w:val="1008"/>
        </w:numPr>
        <w:pStyle w:val="Compact"/>
      </w:pPr>
      <w:r>
        <w:rPr>
          <w:bCs/>
          <w:b/>
        </w:rPr>
        <w:t xml:space="preserve">Use Phase:</w:t>
      </w:r>
      <w:r>
        <w:t xml:space="preserve"> </w:t>
      </w:r>
      <w:r>
        <w:t xml:space="preserve">36.500 kg CO2e (87.6%)</w:t>
      </w:r>
    </w:p>
    <w:p>
      <w:pPr>
        <w:numPr>
          <w:ilvl w:val="0"/>
          <w:numId w:val="1008"/>
        </w:numPr>
        <w:pStyle w:val="Compact"/>
      </w:pPr>
      <w:r>
        <w:rPr>
          <w:bCs/>
          <w:b/>
        </w:rPr>
        <w:t xml:space="preserve">Raw Materials:</w:t>
      </w:r>
      <w:r>
        <w:t xml:space="preserve"> </w:t>
      </w:r>
      <w:r>
        <w:t xml:space="preserve">5.825 kg CO2e (14.0%)</w:t>
      </w:r>
    </w:p>
    <w:p>
      <w:pPr>
        <w:numPr>
          <w:ilvl w:val="0"/>
          <w:numId w:val="1008"/>
        </w:numPr>
        <w:pStyle w:val="Compact"/>
      </w:pPr>
      <w:r>
        <w:rPr>
          <w:bCs/>
          <w:b/>
        </w:rPr>
        <w:t xml:space="preserve">Manufacturing (Scope 2):</w:t>
      </w:r>
      <w:r>
        <w:t xml:space="preserve"> </w:t>
      </w:r>
      <w:r>
        <w:t xml:space="preserve">0.360 kg CO2e (0.9%)</w:t>
      </w:r>
    </w:p>
    <w:p>
      <w:pPr>
        <w:numPr>
          <w:ilvl w:val="0"/>
          <w:numId w:val="1008"/>
        </w:numPr>
        <w:pStyle w:val="Compact"/>
      </w:pPr>
      <w:r>
        <w:rPr>
          <w:bCs/>
          <w:b/>
        </w:rPr>
        <w:t xml:space="preserve">Transportation (Upstream &amp; Downstream):</w:t>
      </w:r>
      <w:r>
        <w:t xml:space="preserve"> </w:t>
      </w:r>
      <w:r>
        <w:t xml:space="preserve">0.368 kg CO2e (0.9%)</w:t>
      </w:r>
    </w:p>
    <w:p>
      <w:pPr>
        <w:numPr>
          <w:ilvl w:val="0"/>
          <w:numId w:val="1008"/>
        </w:numPr>
        <w:pStyle w:val="Compact"/>
      </w:pPr>
      <w:r>
        <w:rPr>
          <w:bCs/>
          <w:b/>
        </w:rPr>
        <w:t xml:space="preserve">End-of-Life:</w:t>
      </w:r>
      <w:r>
        <w:t xml:space="preserve"> </w:t>
      </w:r>
      <w:r>
        <w:t xml:space="preserve">-1.385 kg CO2e (-3.3%) - net carbon benefit due to high recyclability.</w:t>
      </w:r>
    </w:p>
    <w:bookmarkEnd w:id="38"/>
    <w:bookmarkStart w:id="39" w:name="reliability-and-limitations"/>
    <w:p>
      <w:pPr>
        <w:pStyle w:val="Heading4"/>
      </w:pPr>
      <w:r>
        <w:t xml:space="preserve">Reliability and Limitations:</w:t>
      </w:r>
    </w:p>
    <w:p>
      <w:pPr>
        <w:pStyle w:val="FirstParagraph"/>
      </w:pPr>
      <w:r>
        <w:t xml:space="preserve">The reliability of this PCF analysis is high due to the use of specific primary data (BOM, energy usage, lifespan) and adherence to a recognized standard (GHG Protocol). Limitations include the reliance on secondary (industry-average) emission factors for certain processes and transport modes, and general assumptions for geographic-specific factors in the absence of more granular data. The \'Total Carbon\' values in the BOM are taken as given, assuming they reflect accurate cradle-to-gate material emissions. Furthermore, precise details for Scope 1 emissions were not available, leading to an assumption of negligible direct emissions for the manufacturing process.</w:t>
      </w:r>
    </w:p>
    <w:bookmarkEnd w:id="39"/>
    <w:bookmarkEnd w:id="40"/>
    <w:bookmarkStart w:id="41" w:name="recommendations-for-decarbonization"/>
    <w:p>
      <w:pPr>
        <w:pStyle w:val="Heading3"/>
      </w:pPr>
      <w:r>
        <w:t xml:space="preserve">Recommendations for Decarbonization:</w:t>
      </w:r>
    </w:p>
    <w:p>
      <w:pPr>
        <w:pStyle w:val="FirstParagraph"/>
      </w:pPr>
      <w:r>
        <w:t xml:space="preserve">Based on the identified hotspots, the following recommendations are provided to rgkgzdqtqm for reducing the carbon footprint of uqzxozurqw:</w:t>
      </w:r>
    </w:p>
    <w:p>
      <w:pPr>
        <w:numPr>
          <w:ilvl w:val="0"/>
          <w:numId w:val="1009"/>
        </w:numPr>
        <w:pStyle w:val="Compact"/>
      </w:pPr>
      <w:r>
        <w:rPr>
          <w:bCs/>
          <w:b/>
        </w:rPr>
        <w:t xml:space="preserve">Focus on Use Phase Efficiency:</w:t>
      </w:r>
    </w:p>
    <w:p>
      <w:pPr>
        <w:numPr>
          <w:ilvl w:val="1"/>
          <w:numId w:val="1010"/>
        </w:numPr>
        <w:pStyle w:val="Compact"/>
      </w:pPr>
      <w:r>
        <w:t xml:space="preserve">Prioritize research and development into reducing the product\'s energy consumption during its operational lifespan (e.g., more efficient components, low-power modes, smart energy management).</w:t>
      </w:r>
    </w:p>
    <w:p>
      <w:pPr>
        <w:numPr>
          <w:ilvl w:val="1"/>
          <w:numId w:val="1010"/>
        </w:numPr>
        <w:pStyle w:val="Compact"/>
      </w:pPr>
      <w:r>
        <w:t xml:space="preserve">Investigate the feasibility of incorporating lower-carbon energy sources for product use, if applicable (e.g., bundled green energy solutions for consumers, promoting energy-efficient consumer behavior).</w:t>
      </w:r>
    </w:p>
    <w:p>
      <w:pPr>
        <w:numPr>
          <w:ilvl w:val="0"/>
          <w:numId w:val="1009"/>
        </w:numPr>
        <w:pStyle w:val="Compact"/>
      </w:pPr>
      <w:r>
        <w:rPr>
          <w:bCs/>
          <w:b/>
        </w:rPr>
        <w:t xml:space="preserve">Optimize Material Selection:</w:t>
      </w:r>
    </w:p>
    <w:p>
      <w:pPr>
        <w:numPr>
          <w:ilvl w:val="1"/>
          <w:numId w:val="1011"/>
        </w:numPr>
        <w:pStyle w:val="Compact"/>
      </w:pPr>
      <w:r>
        <w:t xml:space="preserve">Continue efforts to source materials with lower embodied carbon, even if the current BOM data provides pre-calculated values. Engage with suppliers to understand and reduce their own carbon footprints.</w:t>
      </w:r>
    </w:p>
    <w:p>
      <w:pPr>
        <w:numPr>
          <w:ilvl w:val="1"/>
          <w:numId w:val="1011"/>
        </w:numPr>
        <w:pStyle w:val="Compact"/>
      </w:pPr>
      <w:r>
        <w:t xml:space="preserve">Explore lightweighting opportunities without compromising product durability or functionality.</w:t>
      </w:r>
    </w:p>
    <w:p>
      <w:pPr>
        <w:numPr>
          <w:ilvl w:val="0"/>
          <w:numId w:val="1009"/>
        </w:numPr>
        <w:pStyle w:val="Compact"/>
      </w:pPr>
      <w:r>
        <w:rPr>
          <w:bCs/>
          <w:b/>
        </w:rPr>
        <w:t xml:space="preserve">Enhance Circularity:</w:t>
      </w:r>
    </w:p>
    <w:p>
      <w:pPr>
        <w:numPr>
          <w:ilvl w:val="1"/>
          <w:numId w:val="1012"/>
        </w:numPr>
        <w:pStyle w:val="Compact"/>
      </w:pPr>
      <w:r>
        <w:t xml:space="preserve">Leverage the existing 70% recyclability and circular/take-back programs. Continuously improve material recovery rates and investigate higher-value recycling streams.</w:t>
      </w:r>
    </w:p>
    <w:p>
      <w:pPr>
        <w:numPr>
          <w:ilvl w:val="1"/>
          <w:numId w:val="1012"/>
        </w:numPr>
        <w:pStyle w:val="Compact"/>
      </w:pPr>
      <w:r>
        <w:t xml:space="preserve">Explore opportunities for extending product lifespan through modular design, repairability, and upgradability, further reducing the need for new production.</w:t>
      </w:r>
    </w:p>
    <w:p>
      <w:pPr>
        <w:numPr>
          <w:ilvl w:val="0"/>
          <w:numId w:val="1009"/>
        </w:numPr>
        <w:pStyle w:val="Compact"/>
      </w:pPr>
      <w:r>
        <w:rPr>
          <w:bCs/>
          <w:b/>
        </w:rPr>
        <w:t xml:space="preserve">Supply Chain Engagement:</w:t>
      </w:r>
    </w:p>
    <w:p>
      <w:pPr>
        <w:numPr>
          <w:ilvl w:val="1"/>
          <w:numId w:val="1013"/>
        </w:numPr>
        <w:pStyle w:val="Compact"/>
      </w:pPr>
      <w:r>
        <w:t xml:space="preserve">Collaborate with upstream suppliers, particularly those in Europe, to encourage their decarbonization efforts, including renewable energy adoption and more efficient logistics.</w:t>
      </w:r>
    </w:p>
    <w:p>
      <w:pPr>
        <w:numPr>
          <w:ilvl w:val="1"/>
          <w:numId w:val="1013"/>
        </w:numPr>
        <w:pStyle w:val="Compact"/>
      </w:pPr>
      <w:r>
        <w:t xml:space="preserve">Optimize transportation routes and modes for both upstream and downstream logistics to minimize fuel consumption and emissions.</w:t>
      </w:r>
    </w:p>
    <w:p>
      <w:pPr>
        <w:numPr>
          <w:ilvl w:val="0"/>
          <w:numId w:val="1009"/>
        </w:numPr>
        <w:pStyle w:val="Compact"/>
      </w:pPr>
      <w:r>
        <w:rPr>
          <w:bCs/>
          <w:b/>
        </w:rPr>
        <w:t xml:space="preserve">Data Granularity:</w:t>
      </w:r>
    </w:p>
    <w:p>
      <w:pPr>
        <w:numPr>
          <w:ilvl w:val="1"/>
          <w:numId w:val="1014"/>
        </w:numPr>
        <w:pStyle w:val="Compact"/>
      </w:pPr>
      <w:r>
        <w:t xml:space="preserve">For future analyses, aim to collect more granular primary data for Scope 1 emissions (e.g., direct fuel consumption at the factory) and more region-specific electricity grid mixes for the use phase to further enhance accuracy.</w:t>
      </w:r>
    </w:p>
    <w:p>
      <w:r>
        <w:pict>
          <v:rect style="width:0;height:1.5pt" o:hralign="center" o:hrstd="t" o:hr="t"/>
        </w:pict>
      </w:r>
    </w:p>
    <w:bookmarkEnd w:id="41"/>
    <w:bookmarkEnd w:id="42"/>
    <w:p>
      <w:pPr>
        <w:pStyle w:val="FirstParagraph"/>
      </w:pPr>
      <w:r>
        <w:t xml:space="preserve">Confidential - Internal Use Only</w:t>
      </w:r>
    </w:p>
    <w:p>
      <w:pPr>
        <w:pStyle w:val="BodyText"/>
      </w:pPr>
      <w:r>
        <w:t xml:space="preserve">Page</w:t>
      </w:r>
      <w:r>
        <w:t xml:space="preserve"> </w:t>
      </w:r>
      <w:bookmarkStart w:id="43" w:name="page-num"/>
      <w:bookmarkEnd w:id="43"/>
      <w:r>
        <w:t xml:space="preserve"> </w:t>
      </w:r>
      <w:r>
        <w:t xml:space="preserve">of</w:t>
      </w:r>
      <w:r>
        <w:t xml:space="preserve"> </w:t>
      </w:r>
      <w:bookmarkStart w:id="44" w:name="page-count"/>
      <w:bookmarkEnd w:id="4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uqzxozurqw</dc:title>
  <dc:creator/>
  <dc:description>Detailed Product Carbon Footprint (PCF) analysis report for uqzxozurqw, conducted by rgkgzdqtqm\'s Senior Sustainability Consultant, dhkkhxmvrk, adhering to GHG Protocol standards and 2026 requirements.</dc:description>
  <dc:language>en</dc:language>
  <cp:keywords/>
  <dcterms:created xsi:type="dcterms:W3CDTF">2026-05-30T16:52:33Z</dcterms:created>
  <dcterms:modified xsi:type="dcterms:W3CDTF">2026-05-30T16:52:33Z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