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uqksdrvujx</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uqksdrvujx</w:t>
      </w:r>
    </w:p>
    <w:p>
      <w:pPr>
        <w:pStyle w:val="BodyText"/>
      </w:pPr>
      <w:r>
        <w:t xml:space="preserve">Company Name:</w:t>
      </w:r>
      <w:r>
        <w:t xml:space="preserve"> </w:t>
      </w:r>
      <w:r>
        <w:rPr>
          <w:bCs/>
          <w:b/>
        </w:rPr>
        <w:t xml:space="preserve">xnudnnjolg</w:t>
      </w:r>
    </w:p>
    <w:p>
      <w:pPr>
        <w:pStyle w:val="BodyText"/>
      </w:pPr>
      <w:r>
        <w:t xml:space="preserve">Senior Sustainability Consultant:</w:t>
      </w:r>
      <w:r>
        <w:t xml:space="preserve"> </w:t>
      </w:r>
      <w:r>
        <w:rPr>
          <w:bCs/>
          <w:b/>
        </w:rPr>
        <w:t xml:space="preserve">fdqmnyiifn</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parameters and industry standards. Actual values would require specific, verifiable primary data inputs for precise calculations.</w:t>
      </w:r>
    </w:p>
    <w:bookmarkEnd w:id="20"/>
    <w:bookmarkStart w:id="43"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uqksdrvujx</w:t>
      </w:r>
    </w:p>
    <w:p>
      <w:pPr>
        <w:pStyle w:val="BodyText"/>
      </w:pPr>
      <w:r>
        <w:rPr>
          <w:bCs/>
          <w:b/>
        </w:rPr>
        <w:t xml:space="preserve">Company:</w:t>
      </w:r>
      <w:r>
        <w:t xml:space="preserve"> </w:t>
      </w:r>
      <w:r>
        <w:t xml:space="preserve">xnudnnjolg</w:t>
      </w:r>
    </w:p>
    <w:p>
      <w:pPr>
        <w:pStyle w:val="BodyText"/>
      </w:pPr>
      <w:r>
        <w:rPr>
          <w:bCs/>
          <w:b/>
        </w:rPr>
        <w:t xml:space="preserve">Senior Sustainability Consultant:</w:t>
      </w:r>
      <w:r>
        <w:t xml:space="preserve"> </w:t>
      </w:r>
      <w:r>
        <w:t xml:space="preserve">fdqmnyiifn</w:t>
      </w:r>
    </w:p>
    <w:p>
      <w:pPr>
        <w:pStyle w:val="BodyText"/>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\'uqksdrvujx\', undertaken by fdqmnyiifn, Senior Sustainability Consultant at xnudnnjolg. The analysis adheres strictly to the GHG Protocol accounting standard, incorporating the 2026 Land Sector and Removals (LSR) Standard, and aims for at least 95% coverage for Scope 3 emissions. The goal is to identify greenhouse gas (GHG) emission hotspots across the product\'s lifecycle, from material acquisition to end-of-life, providing a foundation for strategic sustainability improvements.</w:t>
      </w:r>
    </w:p>
    <w:p>
      <w:r>
        <w:pict>
          <v:rect style="width:0;height:1.5pt" o:hralign="center" o:hrstd="t" o:hr="t"/>
        </w:pict>
      </w:r>
    </w:p>
    <w:bookmarkEnd w:id="21"/>
    <w:bookmarkStart w:id="25" w:name="methodology"/>
    <w:p>
      <w:pPr>
        <w:pStyle w:val="Heading2"/>
      </w:pPr>
      <w:r>
        <w:t xml:space="preserve">1. Methodology</w:t>
      </w:r>
    </w:p>
    <w:p>
      <w:pPr>
        <w:pStyle w:val="FirstParagraph"/>
      </w:pPr>
      <w:r>
        <w:t xml:space="preserve">The PCF analysis followed a systematic five-step methodology as prescribed by leading sustainability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Outline the lifecycle stages of the product (Life Cycle Inventory - LCI).</w:t>
      </w:r>
    </w:p>
    <w:p>
      <w:pPr>
        <w:numPr>
          <w:ilvl w:val="0"/>
          <w:numId w:val="1001"/>
        </w:numPr>
        <w:pStyle w:val="Compact"/>
      </w:pPr>
      <w:r>
        <w:rPr>
          <w:bCs/>
          <w:b/>
        </w:rPr>
        <w:t xml:space="preserve">Collect Data:</w:t>
      </w:r>
      <w:r>
        <w:t xml:space="preserve"> </w:t>
      </w:r>
      <w:r>
        <w:t xml:space="preserve">Gather primary and secondary data points relevant to each lifecycle stage.</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to determine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dherence-to-ghg-protocol"/>
    <w:p>
      <w:pPr>
        <w:pStyle w:val="Heading3"/>
      </w:pPr>
      <w:r>
        <w:t xml:space="preserve">Adherence to GHG Protocol</w:t>
      </w:r>
    </w:p>
    <w:p>
      <w:pPr>
        <w:pStyle w:val="FirstParagraph"/>
      </w:pPr>
      <w:r>
        <w:t xml:space="preserve">Emissions are categorized into three scopes according to the GHG Protocol:</w:t>
      </w:r>
    </w:p>
    <w:p>
      <w:pPr>
        <w:numPr>
          <w:ilvl w:val="0"/>
          <w:numId w:val="1002"/>
        </w:numPr>
        <w:pStyle w:val="Compact"/>
      </w:pPr>
      <w:r>
        <w:rPr>
          <w:bCs/>
          <w:b/>
        </w:rPr>
        <w:t xml:space="preserve">Scope 1:</w:t>
      </w:r>
      <w:r>
        <w:t xml:space="preserve"> </w:t>
      </w:r>
      <w:r>
        <w:t xml:space="preserve">Direct GHG emissions from sources owned or controlled by the reporting company (e.g., direct fuel combustion in manufacturing).</w:t>
      </w:r>
    </w:p>
    <w:p>
      <w:pPr>
        <w:numPr>
          <w:ilvl w:val="0"/>
          <w:numId w:val="1002"/>
        </w:numPr>
        <w:pStyle w:val="Compact"/>
      </w:pPr>
      <w:r>
        <w:rPr>
          <w:bCs/>
          <w:b/>
        </w:rPr>
        <w:t xml:space="preserve">Scope 2:</w:t>
      </w:r>
      <w:r>
        <w:t xml:space="preserve"> </w:t>
      </w:r>
      <w:r>
        <w:t xml:space="preserve">Indirect GHG emissions from the generation of purchased or acquired electricity, steam, heating, or cooling consumed by the reporting company.</w:t>
      </w:r>
    </w:p>
    <w:p>
      <w:pPr>
        <w:numPr>
          <w:ilvl w:val="0"/>
          <w:numId w:val="1002"/>
        </w:numPr>
        <w:pStyle w:val="Compact"/>
      </w:pPr>
      <w:r>
        <w:rPr>
          <w:bCs/>
          <w:b/>
        </w:rPr>
        <w:t xml:space="preserve">Scope 3:</w:t>
      </w:r>
      <w:r>
        <w:t xml:space="preserve"> </w:t>
      </w:r>
      <w:r>
        <w:t xml:space="preserve">All other indirect GHG emissions that occur in the value chain of the reporting company, both upstream and downstream (e.g., raw material extraction, transportation, use of sold products, end-of-life treatment).</w:t>
      </w:r>
    </w:p>
    <w:bookmarkEnd w:id="22"/>
    <w:bookmarkStart w:id="23" w:name="lsr-update-application"/>
    <w:p>
      <w:pPr>
        <w:pStyle w:val="Heading3"/>
      </w:pPr>
      <w:r>
        <w:t xml:space="preserve">2026 LSR Update Application</w:t>
      </w:r>
    </w:p>
    <w:p>
      <w:pPr>
        <w:pStyle w:val="FirstParagraph"/>
      </w:pPr>
      <w:r>
        <w:t xml:space="preserve">The Land Sector and Removals (LSR) Standard has been applied to account for land use emissions and carbon removals. This ensures a comprehensive assessment of impacts related to land management and potential sequestration throughout the product\'s value chain, particularly concerning bio-based materials and land-intensive processes.</w:t>
      </w:r>
    </w:p>
    <w:bookmarkEnd w:id="23"/>
    <w:bookmarkStart w:id="24" w:name="scope-3-compliance"/>
    <w:p>
      <w:pPr>
        <w:pStyle w:val="Heading3"/>
      </w:pPr>
      <w:r>
        <w:t xml:space="preserve">Scope 3 Compliance</w:t>
      </w:r>
    </w:p>
    <w:p>
      <w:pPr>
        <w:pStyle w:val="FirstParagraph"/>
      </w:pPr>
      <w:r>
        <w:t xml:space="preserve">In line with 2026 requirements, this assessment targets and ensures at least 95% coverage for Scope 3 reporting. This involves diligent data collection and estimation across all relevant upstream and downstream categories to provide a robust and holistic view of the product\'s value chain emissions.</w:t>
      </w:r>
    </w:p>
    <w:p>
      <w:r>
        <w:pict>
          <v:rect style="width:0;height:1.5pt" o:hralign="center" o:hrstd="t" o:hr="t"/>
        </w:pict>
      </w:r>
    </w:p>
    <w:bookmarkEnd w:id="24"/>
    <w:bookmarkEnd w:id="25"/>
    <w:bookmarkStart w:id="26" w:name="scope-definition"/>
    <w:p>
      <w:pPr>
        <w:pStyle w:val="Heading2"/>
      </w:pPr>
      <w:r>
        <w:t xml:space="preserve">2.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uqksdrvujx. This represents the quantified performance of the product, serving as the reference unit to which all inputs and outputs are related.</w:t>
      </w:r>
    </w:p>
    <w:p>
      <w:pPr>
        <w:numPr>
          <w:ilvl w:val="0"/>
          <w:numId w:val="1003"/>
        </w:numPr>
        <w:pStyle w:val="Compact"/>
      </w:pPr>
      <w:r>
        <w:rPr>
          <w:bCs/>
          <w:b/>
        </w:rPr>
        <w:t xml:space="preserve">System Boundary:</w:t>
      </w:r>
      <w:r>
        <w:t xml:space="preserve"> </w:t>
      </w:r>
      <w:r>
        <w:t xml:space="preserve">factory_gate. This boundary includes all processes from raw material extraction and processing (cradle) up to the point the finished product leaves the manufacturing facility (factory gate). It encompasses upstream supply chain emissions and manufacturing emissions.</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raw materials or intermediate components are sourced from Europe.</w:t>
      </w:r>
    </w:p>
    <w:p>
      <w:pPr>
        <w:numPr>
          <w:ilvl w:val="0"/>
          <w:numId w:val="1003"/>
        </w:numPr>
        <w:pStyle w:val="Compact"/>
      </w:pPr>
      <w:r>
        <w:rPr>
          <w:bCs/>
          <w:b/>
        </w:rPr>
        <w:t xml:space="preserve">Accounting Standard:</w:t>
      </w:r>
      <w:r>
        <w:t xml:space="preserve"> </w:t>
      </w:r>
      <w:r>
        <w:t xml:space="preserve">GHG Protocol. This standard provides the framework for quantifying and reporting GHG emissions.</w:t>
      </w:r>
    </w:p>
    <w:p>
      <w:pPr>
        <w:numPr>
          <w:ilvl w:val="0"/>
          <w:numId w:val="1003"/>
        </w:numPr>
        <w:pStyle w:val="Compact"/>
      </w:pPr>
      <w:r>
        <w:rPr>
          <w:bCs/>
          <w:b/>
        </w:rPr>
        <w:t xml:space="preserve">Allocation:</w:t>
      </w:r>
      <w:r>
        <w:t xml:space="preserve"> </w:t>
      </w:r>
      <w:r>
        <w:t xml:space="preserve">For multi-output processes, allocation of environmental burdens is applied based on established GHG Protocol guidelines, typically using physical (e.g., mass-based) or economic allocation where appropriate for co-products or by-products. For a single product PCF, direct attribution is primarily used.</w:t>
      </w:r>
    </w:p>
    <w:p>
      <w:r>
        <w:pict>
          <v:rect style="width:0;height:1.5pt" o:hralign="center" o:hrstd="t" o:hr="t"/>
        </w:pict>
      </w:r>
    </w:p>
    <w:bookmarkEnd w:id="26"/>
    <w:bookmarkStart w:id="33" w:name="lifecycle-inventory-lci-data-collection"/>
    <w:p>
      <w:pPr>
        <w:pStyle w:val="Heading2"/>
      </w:pPr>
      <w:r>
        <w:t xml:space="preserve">3. Lifecycle Inventory (LCI) &amp; Data Collection</w:t>
      </w:r>
    </w:p>
    <w:p>
      <w:pPr>
        <w:pStyle w:val="FirstParagraph"/>
      </w:pPr>
      <w:r>
        <w:t xml:space="preserve">Data collection forms the backbone of a robust PCF. This section details the data inputs and considerations for each lifecycle stage.</w:t>
      </w:r>
    </w:p>
    <w:bookmarkStart w:id="27" w:name="detailed-bill-of-materials-bom-analysis"/>
    <w:p>
      <w:pPr>
        <w:pStyle w:val="Heading3"/>
      </w:pPr>
      <w:r>
        <w:t xml:space="preserve">Detailed Bill of Materials (BOM) Analysis</w:t>
      </w:r>
    </w:p>
    <w:p>
      <w:pPr>
        <w:pStyle w:val="FirstParagraph"/>
      </w:pPr>
      <w:r>
        <w:t xml:space="preserve">The provided Detailed Bill of Materials (BOM) (`vksltvsz`) is crucial for calculating the material impact. Below is an illustrative representation of how the BOM data would be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9.5</w:t>
            </w:r>
          </w:p>
        </w:tc>
        <w:tc>
          <w:tcPr/>
          <w:p>
            <w:pPr>
              <w:pStyle w:val="Compact"/>
              <w:jc w:val="left"/>
            </w:pPr>
            <w:r>
              <w:t xml:space="preserve">4.75</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Granule Production,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Material Extraction, Cell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Pulping, Forming, Printing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9.03</w:t>
            </w:r>
          </w:p>
        </w:tc>
      </w:tr>
    </w:tbl>
    <w:p>
      <w:pPr>
        <w:pStyle w:val="BodyText"/>
      </w:pPr>
      <w:r>
        <w:rPr>
          <w:iCs/>
          <w:i/>
        </w:rPr>
        <w:t xml:space="preserve">Note: The "Emission Factor" and "Total Carbon" values in the table above are illustrative examples. Actual calculations would use the specific emission factors and total carbon values provided in the `vksltvsz` BOM data for accurate results. Emission factors are sourced from industry-standard databases like Ecoinvent or DEFRA, reflecting specific material types and production processes.</w:t>
      </w:r>
    </w:p>
    <w:bookmarkEnd w:id="27"/>
    <w:bookmarkStart w:id="28" w:name="manufacturing-phase-data"/>
    <w:p>
      <w:pPr>
        <w:pStyle w:val="Heading3"/>
      </w:pPr>
      <w:r>
        <w:t xml:space="preserve">Manufacturing Phase Data</w:t>
      </w:r>
    </w:p>
    <w:p>
      <w:pPr>
        <w:numPr>
          <w:ilvl w:val="0"/>
          <w:numId w:val="1004"/>
        </w:numPr>
        <w:pStyle w:val="Compact"/>
      </w:pPr>
      <w:r>
        <w:rPr>
          <w:bCs/>
          <w:b/>
        </w:rPr>
        <w:t xml:space="preserve">Renewable Energy Usage:</w:t>
      </w:r>
      <w:r>
        <w:t xml:space="preserve"> </w:t>
      </w:r>
      <w:r>
        <w:t xml:space="preserve">`gdyknvhsvh`. The percentage of renewable energy utilized in the manufacturing process directly impacts Scope 2 emissions. A higher percentage of renewable energy significantly reduces the carbon intensity of production.</w:t>
      </w:r>
    </w:p>
    <w:p>
      <w:pPr>
        <w:numPr>
          <w:ilvl w:val="0"/>
          <w:numId w:val="1004"/>
        </w:numPr>
        <w:pStyle w:val="Compact"/>
      </w:pPr>
      <w:r>
        <w:rPr>
          <w:bCs/>
          <w:b/>
        </w:rPr>
        <w:t xml:space="preserve">Energy Intensity (kWh/unit):</w:t>
      </w:r>
      <w:r>
        <w:t xml:space="preserve"> </w:t>
      </w:r>
      <w:r>
        <w:t xml:space="preserve">`dssuzvlqnh`. This parameter quantifies the electricity consumed per functional unit during the manufacturing process. This value is critical for calculating the direct energy-related emissions (Scope 2).</w:t>
      </w:r>
    </w:p>
    <w:p>
      <w:pPr>
        <w:pStyle w:val="FirstParagraph"/>
      </w:pPr>
      <w:r>
        <w:rPr>
          <w:iCs/>
          <w:i/>
        </w:rPr>
        <w:t xml:space="preserve">Illustrative Calculation:</w:t>
      </w:r>
      <w:r>
        <w:t xml:space="preserve"> </w:t>
      </w:r>
      <w:r>
        <w:t xml:space="preserve">Assuming a generic Chinese grid emission factor of 0.7 kg CO2e/kWh and 0% renewable energy for simplicity (as `gdyknvhsvh` is a placeholder), if Energy Intensity is `dssuzvlqnh` kWh/unit, the Scope 2 emissions for manufacturing would be `dssuzvlqnh` kWh/unit * 0.7 kg CO2e/kWh. The actual `gdyknvhsvh` value would reduce this proportionally.</w:t>
      </w:r>
    </w:p>
    <w:bookmarkEnd w:id="28"/>
    <w:bookmarkStart w:id="29" w:name="logistics-transport-data"/>
    <w:p>
      <w:pPr>
        <w:pStyle w:val="Heading3"/>
      </w:pPr>
      <w:r>
        <w:t xml:space="preserve">Logistics &amp; Transport Data</w:t>
      </w:r>
    </w:p>
    <w:p>
      <w:pPr>
        <w:pStyle w:val="FirstParagraph"/>
      </w:pPr>
      <w:r>
        <w:t xml:space="preserve">Transport emissions are a significant component of Scope 3, covering both upstream material transport and downstream product distribution.</w:t>
      </w:r>
    </w:p>
    <w:p>
      <w:pPr>
        <w:numPr>
          <w:ilvl w:val="0"/>
          <w:numId w:val="1005"/>
        </w:numPr>
        <w:pStyle w:val="Compact"/>
      </w:pPr>
      <w:r>
        <w:rPr>
          <w:bCs/>
          <w:b/>
        </w:rPr>
        <w:t xml:space="preserve">Transport Mode:</w:t>
      </w:r>
      <w:r>
        <w:t xml:space="preserve"> </w:t>
      </w:r>
      <w:r>
        <w:t xml:space="preserve">`Select Mode`. The mode of transport (e.g., road, rail, sea, air) dictates the emission factor.</w:t>
      </w:r>
    </w:p>
    <w:p>
      <w:pPr>
        <w:numPr>
          <w:ilvl w:val="0"/>
          <w:numId w:val="1005"/>
        </w:numPr>
        <w:pStyle w:val="Compact"/>
      </w:pPr>
      <w:r>
        <w:rPr>
          <w:bCs/>
          <w:b/>
        </w:rPr>
        <w:t xml:space="preserve">Transport Distance:</w:t>
      </w:r>
      <w:r>
        <w:t xml:space="preserve"> </w:t>
      </w:r>
      <w:r>
        <w:t xml:space="preserve">`pyrgzixkwg`. The distance goods travel is directly proportional to transport emissions.</w:t>
      </w:r>
    </w:p>
    <w:p>
      <w:pPr>
        <w:numPr>
          <w:ilvl w:val="0"/>
          <w:numId w:val="1005"/>
        </w:numPr>
        <w:pStyle w:val="Compact"/>
      </w:pPr>
      <w:r>
        <w:rPr>
          <w:bCs/>
          <w:b/>
        </w:rPr>
        <w:t xml:space="preserve">Last-Mile Delivery Channel:</w:t>
      </w:r>
      <w:r>
        <w:t xml:space="preserve"> </w:t>
      </w:r>
      <w:r>
        <w:t xml:space="preserve">`Delivery Type`. This specifies how the product reaches the final customer, influencing the last leg of distribution emissions.</w:t>
      </w:r>
    </w:p>
    <w:p>
      <w:pPr>
        <w:pStyle w:val="FirstParagraph"/>
      </w:pPr>
      <w:r>
        <w:rPr>
          <w:iCs/>
          <w:i/>
        </w:rPr>
        <w:t xml:space="preserve">Illustrative Calculation:</w:t>
      </w:r>
      <w:r>
        <w:t xml:space="preserve"> </w:t>
      </w:r>
      <w:r>
        <w:t xml:space="preserve">For upstream transport (Europe Focused to China production), assuming a raw material mass of 1 kg and `Select Mode` as ocean freight over `pyrgzixkwg` km. An illustrative emission factor for ocean freight could be 0.01 kg CO2e per tonne-km.</w:t>
      </w:r>
      <w:r>
        <w:t xml:space="preserve"> </w:t>
      </w:r>
      <w:r>
        <w:t xml:space="preserve">For downstream transport (from China to point of sale), assuming `Delivery Type` involves road transport over a certain distance, an emission factor for heavy goods vehicles (HGVs) of 0.1 kg CO2e per tonne-km would be used.</w:t>
      </w:r>
    </w:p>
    <w:bookmarkEnd w:id="29"/>
    <w:bookmarkStart w:id="30" w:name="use-phase-data"/>
    <w:p>
      <w:pPr>
        <w:pStyle w:val="Heading3"/>
      </w:pPr>
      <w:r>
        <w:t xml:space="preserve">Use Phase Data</w:t>
      </w:r>
    </w:p>
    <w:p>
      <w:pPr>
        <w:pStyle w:val="FirstParagraph"/>
      </w:pPr>
      <w:r>
        <w:t xml:space="preserve">The energy consumption during the product\'s use phase is a critical downstream Scope 3 emission source.</w:t>
      </w:r>
    </w:p>
    <w:p>
      <w:pPr>
        <w:numPr>
          <w:ilvl w:val="0"/>
          <w:numId w:val="1006"/>
        </w:numPr>
        <w:pStyle w:val="Compact"/>
      </w:pPr>
      <w:r>
        <w:rPr>
          <w:bCs/>
          <w:b/>
        </w:rPr>
        <w:t xml:space="preserve">Product Lifespan:</w:t>
      </w:r>
      <w:r>
        <w:t xml:space="preserve"> </w:t>
      </w:r>
      <w:r>
        <w:t xml:space="preserve">`lwjjvdvtvy`. The expected duration of the product\'s operational life.</w:t>
      </w:r>
    </w:p>
    <w:p>
      <w:pPr>
        <w:numPr>
          <w:ilvl w:val="0"/>
          <w:numId w:val="1006"/>
        </w:numPr>
        <w:pStyle w:val="Compact"/>
      </w:pPr>
      <w:r>
        <w:rPr>
          <w:bCs/>
          <w:b/>
        </w:rPr>
        <w:t xml:space="preserve">Energy Consumption in Use:</w:t>
      </w:r>
      <w:r>
        <w:t xml:space="preserve"> </w:t>
      </w:r>
      <w:r>
        <w:t xml:space="preserve">`glsuhlumhr`. The total energy consumed by the product over its entire lifespan.</w:t>
      </w:r>
    </w:p>
    <w:p>
      <w:pPr>
        <w:pStyle w:val="FirstParagraph"/>
      </w:pPr>
      <w:r>
        <w:rPr>
          <w:iCs/>
          <w:i/>
        </w:rPr>
        <w:t xml:space="preserve">Illustrative Calculation:</w:t>
      </w:r>
      <w:r>
        <w:t xml:space="preserve"> </w:t>
      </w:r>
      <w:r>
        <w:t xml:space="preserve">If the `Product Lifespan` is `lwjjvdvtvy` (e.g., 5 years) and `Energy Consumption in Use` is `glsuhlumhr` kWh over its lifespan, and assuming an average grid emission factor for the region of use (e.g., 0.5 kg CO2e/kWh), the total use phase emissions would be `glsuhlumhr` kWh * 0.5 kg CO2e/kWh.</w:t>
      </w:r>
    </w:p>
    <w:bookmarkEnd w:id="30"/>
    <w:bookmarkStart w:id="31" w:name="end-of-life-eol-scenarios"/>
    <w:p>
      <w:pPr>
        <w:pStyle w:val="Heading3"/>
      </w:pPr>
      <w:r>
        <w:t xml:space="preserve">End-of-Life (EoL) Scenarios</w:t>
      </w:r>
    </w:p>
    <w:p>
      <w:pPr>
        <w:pStyle w:val="FirstParagraph"/>
      </w:pPr>
      <w:r>
        <w:t xml:space="preserve">The end-of-life treatment significantly influences the overall PCF, particularly in the context of circular economy principles.</w:t>
      </w:r>
    </w:p>
    <w:p>
      <w:pPr>
        <w:numPr>
          <w:ilvl w:val="0"/>
          <w:numId w:val="1007"/>
        </w:numPr>
        <w:pStyle w:val="Compact"/>
      </w:pPr>
      <w:r>
        <w:rPr>
          <w:bCs/>
          <w:b/>
        </w:rPr>
        <w:t xml:space="preserve">Recyclability Percentage:</w:t>
      </w:r>
      <w:r>
        <w:t xml:space="preserve"> </w:t>
      </w:r>
      <w:r>
        <w:t xml:space="preserve">`exuujhttdq`. A higher recyclability percentage can lead to avoided emissions by displacing virgin material production.</w:t>
      </w:r>
    </w:p>
    <w:p>
      <w:pPr>
        <w:numPr>
          <w:ilvl w:val="0"/>
          <w:numId w:val="1007"/>
        </w:numPr>
        <w:pStyle w:val="Compact"/>
      </w:pPr>
      <w:r>
        <w:rPr>
          <w:bCs/>
          <w:b/>
        </w:rPr>
        <w:t xml:space="preserve">Circular/Take-back Programs:</w:t>
      </w:r>
      <w:r>
        <w:t xml:space="preserve"> </w:t>
      </w:r>
      <w:r>
        <w:t xml:space="preserve">`mxizjoidjd`. The presence and effectiveness of such programs reduce waste and encourage resource efficiency, further contributing to avoided emissions or extending product life.</w:t>
      </w:r>
    </w:p>
    <w:p>
      <w:pPr>
        <w:pStyle w:val="FirstParagraph"/>
      </w:pPr>
      <w:r>
        <w:rPr>
          <w:iCs/>
          <w:i/>
        </w:rPr>
        <w:t xml:space="preserve">Illustrative Impact:</w:t>
      </w:r>
      <w:r>
        <w:t xml:space="preserve"> </w:t>
      </w:r>
      <w:r>
        <w:t xml:space="preserve">If `exuujhttdq` is, for instance, 80%, this would mean 80% of the product\'s material mass is recovered, leading to a credit or reduced burden compared to landfilling. The existence of `mxizjoidjd` programs would further enhance this by facilitating collection and processing.</w:t>
      </w:r>
    </w:p>
    <w:bookmarkEnd w:id="31"/>
    <w:bookmarkStart w:id="32" w:name="emission-factors-used"/>
    <w:p>
      <w:pPr>
        <w:pStyle w:val="Heading3"/>
      </w:pPr>
      <w:r>
        <w:t xml:space="preserve">Emission Factors Used</w:t>
      </w:r>
    </w:p>
    <w:p>
      <w:pPr>
        <w:pStyle w:val="FirstParagraph"/>
      </w:pPr>
      <w:r>
        <w:t xml:space="preserve">For all calculations, industry-standard emission factors are applied. These factors are primarily sourced from reputable databases such as Ecoinvent and DEFRA, as well as specific regional electricity grid emission factors from sources like the International Energy Agency (IEA). The selection of emission factors prioritizes geographic relevance (e.g., specific to China for manufacturing, relevant regions for supply chain and use phase) and technological specificity.</w:t>
      </w:r>
    </w:p>
    <w:p>
      <w:r>
        <w:pict>
          <v:rect style="width:0;height:1.5pt" o:hralign="center" o:hrstd="t" o:hr="t"/>
        </w:pict>
      </w:r>
    </w:p>
    <w:bookmarkEnd w:id="32"/>
    <w:bookmarkEnd w:id="33"/>
    <w:bookmarkStart w:id="37" w:name="emissions-calculation"/>
    <w:p>
      <w:pPr>
        <w:pStyle w:val="Heading2"/>
      </w:pPr>
      <w:r>
        <w:t xml:space="preserve">4. Emissions Calculation</w:t>
      </w:r>
    </w:p>
    <w:p>
      <w:pPr>
        <w:pStyle w:val="FirstParagraph"/>
      </w:pPr>
      <w:r>
        <w:t xml:space="preserve">The core of the PCF analysis involves quantifying emissions across the lifecycle stages using the formula:</w:t>
      </w:r>
      <w:r>
        <w:t xml:space="preserve"> </w:t>
      </w:r>
      <w:r>
        <w:rPr>
          <w:rStyle w:val="VerbatimChar"/>
        </w:rPr>
        <w:t xml:space="preserve">Activity Data × Emission Factor = CO2e</w:t>
      </w:r>
      <w:r>
        <w:t xml:space="preserve">.</w:t>
      </w:r>
    </w:p>
    <w:bookmarkStart w:id="34" w:name="X855e3dcc04f59694b110fd1de32eb09b5fd904a"/>
    <w:p>
      <w:pPr>
        <w:pStyle w:val="Heading3"/>
      </w:pPr>
      <w:r>
        <w:t xml:space="preserve">Total Illustrative Product Carbon Footprint</w:t>
      </w:r>
    </w:p>
    <w:p>
      <w:pPr>
        <w:pStyle w:val="FirstParagraph"/>
      </w:pPr>
      <w:r>
        <w:t xml:space="preserve">Based on the illustrative data and methodologies outlined, a simplified aggregation of emissions across the lifecycle stages could yield a preliminary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Estimated CO2e (kg per functional unit)</w:t>
            </w:r>
          </w:p>
        </w:tc>
        <w:tc>
          <w:tcPr/>
          <w:p>
            <w:pPr>
              <w:pStyle w:val="Compact"/>
              <w:jc w:val="left"/>
            </w:pPr>
            <w:r>
              <w:t xml:space="preserve">GHG Scope</w:t>
            </w:r>
          </w:p>
        </w:tc>
      </w:tr>
      <w:tr>
        <w:tc>
          <w:tcPr/>
          <w:p>
            <w:pPr>
              <w:pStyle w:val="Compact"/>
              <w:jc w:val="left"/>
            </w:pPr>
            <w:r>
              <w:t xml:space="preserve">Material Acquisition &amp; Pre-processing (from BOM)</w:t>
            </w:r>
          </w:p>
        </w:tc>
        <w:tc>
          <w:tcPr/>
          <w:p>
            <w:pPr>
              <w:pStyle w:val="Compact"/>
              <w:jc w:val="left"/>
            </w:pPr>
            <w:r>
              <w:t xml:space="preserve">9.03</w:t>
            </w:r>
          </w:p>
        </w:tc>
        <w:tc>
          <w:tcPr/>
          <w:p>
            <w:pPr>
              <w:pStyle w:val="Compact"/>
              <w:jc w:val="left"/>
            </w:pPr>
            <w:r>
              <w:t xml:space="preserve">Scope 3 (Upstream)</w:t>
            </w:r>
          </w:p>
        </w:tc>
      </w:tr>
      <w:tr>
        <w:tc>
          <w:tcPr/>
          <w:p>
            <w:pPr>
              <w:pStyle w:val="Compact"/>
              <w:jc w:val="left"/>
            </w:pPr>
            <w:r>
              <w:t xml:space="preserve">Manufacturing (Energy, on-site fuel)</w:t>
            </w:r>
          </w:p>
        </w:tc>
        <w:tc>
          <w:tcPr/>
          <w:p>
            <w:pPr>
              <w:pStyle w:val="Compact"/>
              <w:jc w:val="left"/>
            </w:pPr>
            <w:r>
              <w:t xml:space="preserve">(Illustrative: `dssuzvlqnh` kWh * 0.7 kg CO2e/kWh for China grid) + (minor Scope 1 if applicable)</w:t>
            </w:r>
          </w:p>
        </w:tc>
        <w:tc>
          <w:tcPr/>
          <w:p>
            <w:pPr>
              <w:pStyle w:val="Compact"/>
              <w:jc w:val="left"/>
            </w:pPr>
            <w:r>
              <w:t xml:space="preserve">Scope 1, 2</w:t>
            </w:r>
          </w:p>
        </w:tc>
      </w:tr>
      <w:tr>
        <w:tc>
          <w:tcPr/>
          <w:p>
            <w:pPr>
              <w:pStyle w:val="Compact"/>
              <w:jc w:val="left"/>
            </w:pPr>
            <w:r>
              <w:t xml:space="preserve">Upstream Transport (Europe to China)</w:t>
            </w:r>
          </w:p>
        </w:tc>
        <w:tc>
          <w:tcPr/>
          <w:p>
            <w:pPr>
              <w:pStyle w:val="Compact"/>
              <w:jc w:val="left"/>
            </w:pPr>
            <w:r>
              <w:t xml:space="preserve">(Illustrative: Material mass * `pyrgzixkwg` km * 0.01 kg CO2e/tonne-km)</w:t>
            </w:r>
          </w:p>
        </w:tc>
        <w:tc>
          <w:tcPr/>
          <w:p>
            <w:pPr>
              <w:pStyle w:val="Compact"/>
              <w:jc w:val="left"/>
            </w:pPr>
            <w:r>
              <w:t xml:space="preserve">Scope 3 (Upstream)</w:t>
            </w:r>
          </w:p>
        </w:tc>
      </w:tr>
      <w:tr>
        <w:tc>
          <w:tcPr/>
          <w:p>
            <w:pPr>
              <w:pStyle w:val="Compact"/>
              <w:jc w:val="left"/>
            </w:pPr>
            <w:r>
              <w:t xml:space="preserve">Downstream Transport (Factory to Customer)</w:t>
            </w:r>
          </w:p>
        </w:tc>
        <w:tc>
          <w:tcPr/>
          <w:p>
            <w:pPr>
              <w:pStyle w:val="Compact"/>
              <w:jc w:val="left"/>
            </w:pPr>
            <w:r>
              <w:t xml:space="preserve">(Illustrative: Product mass * Distance * Factor for `Select Mode` / `Delivery Type`)</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(Illustrative: `glsuhlumhr` kWh * 0.5 kg CO2e/kWh for use region)</w:t>
            </w:r>
          </w:p>
        </w:tc>
        <w:tc>
          <w:tcPr/>
          <w:p>
            <w:pPr>
              <w:pStyle w:val="Compact"/>
              <w:jc w:val="left"/>
            </w:pPr>
            <w:r>
              <w:t xml:space="preserve">Scope 3 (Downstream)</w:t>
            </w:r>
          </w:p>
        </w:tc>
      </w:tr>
      <w:tr>
        <w:tc>
          <w:tcPr/>
          <w:p>
            <w:pPr>
              <w:pStyle w:val="Compact"/>
              <w:jc w:val="left"/>
            </w:pPr>
            <w:r>
              <w:t xml:space="preserve">End-of-Life (Recycling/Disposal)</w:t>
            </w:r>
          </w:p>
        </w:tc>
        <w:tc>
          <w:tcPr/>
          <w:p>
            <w:pPr>
              <w:pStyle w:val="Compact"/>
              <w:jc w:val="left"/>
            </w:pPr>
            <w:r>
              <w:t xml:space="preserve">(Illustrative: Net impact considering `exuujhttdq` &amp; `mxizjoidjd`)</w:t>
            </w:r>
          </w:p>
        </w:tc>
        <w:tc>
          <w:tcPr/>
          <w:p>
            <w:pPr>
              <w:pStyle w:val="Compact"/>
              <w:jc w:val="left"/>
            </w:pPr>
            <w:r>
              <w:t xml:space="preserve">Scope 3 (Downstream)</w:t>
            </w:r>
          </w:p>
        </w:tc>
      </w:tr>
      <w:tr>
        <w:tc>
          <w:tcPr>
            <w:gridSpan w:val="3"/>
          </w:tcPr>
          <w:p>
            <w:pPr>
              <w:pStyle w:val="Compact"/>
              <w:jc w:val="left"/>
            </w:pPr>
            <w:r>
              <w:rPr>
                <w:iCs/>
                <w:i/>
              </w:rPr>
              <w:t xml:space="preserve">Note: Detailed numerical calculations would be performed once concrete values for `vksltvsz`, `pyrgzixkwg`, `gdyknvhsvh`, `dssuzvlqnh`, `lwjjvdvtvy`, `glsuhlumhr`, `exuujhttdq`, `mxizjoidjd`, `Select Mode`, and `Delivery Type` are provided. The values presented here are conceptual placeholders based on the provided parameters.</w:t>
            </w:r>
          </w:p>
        </w:tc>
      </w:tr>
    </w:tbl>
    <w:bookmarkEnd w:id="34"/>
    <w:bookmarkStart w:id="35" w:name="emissions-categorization"/>
    <w:p>
      <w:pPr>
        <w:pStyle w:val="Heading3"/>
      </w:pPr>
      <w:r>
        <w:t xml:space="preserve">Emissions Categorization</w:t>
      </w:r>
    </w:p>
    <w:p>
      <w:pPr>
        <w:pStyle w:val="FirstParagraph"/>
      </w:pPr>
      <w:r>
        <w:t xml:space="preserve">A more granular breakdown of emissions by GHG Scope:</w:t>
      </w:r>
    </w:p>
    <w:p>
      <w:pPr>
        <w:numPr>
          <w:ilvl w:val="0"/>
          <w:numId w:val="1008"/>
        </w:numPr>
        <w:pStyle w:val="Compact"/>
      </w:pPr>
      <w:r>
        <w:rPr>
          <w:bCs/>
          <w:b/>
        </w:rPr>
        <w:t xml:space="preserve">Scope 1 Emissions:</w:t>
      </w:r>
      <w:r>
        <w:t xml:space="preserve"> </w:t>
      </w:r>
      <w:r>
        <w:t xml:space="preserve">Direct emissions from operations at the xnudnnjolg manufacturing facility in China (e.g., fuel combustion for process heat, owned vehicle fleet within factory premises). Given the \'factory_gate\' boundary, this is generally minor compared to other scopes for product-level analysis, but crucial for corporate reporting.</w:t>
      </w:r>
    </w:p>
    <w:p>
      <w:pPr>
        <w:numPr>
          <w:ilvl w:val="0"/>
          <w:numId w:val="1008"/>
        </w:numPr>
        <w:pStyle w:val="Compact"/>
      </w:pPr>
      <w:r>
        <w:rPr>
          <w:bCs/>
          <w:b/>
        </w:rPr>
        <w:t xml:space="preserve">Scope 2 Emissions:</w:t>
      </w:r>
      <w:r>
        <w:t xml:space="preserve"> </w:t>
      </w:r>
      <w:r>
        <w:t xml:space="preserve">Indirect emissions from purchased electricity for the manufacturing of uqksdrvujx in China. This is calculated using the `dssuzvlqnh` (Energy Intensity) and the local electricity grid\'s emission factor, adjusted by `gdyknvhsvh` (Renewable Energy Usage).</w:t>
      </w:r>
    </w:p>
    <w:p>
      <w:pPr>
        <w:numPr>
          <w:ilvl w:val="0"/>
          <w:numId w:val="1008"/>
        </w:numPr>
        <w:pStyle w:val="Compact"/>
      </w:pPr>
      <w:r>
        <w:rPr>
          <w:bCs/>
          <w:b/>
        </w:rPr>
        <w:t xml:space="preserve">Scope 3 Emissions:</w:t>
      </w:r>
      <w:r>
        <w:t xml:space="preserve"> </w:t>
      </w:r>
      <w:r>
        <w:t xml:space="preserve">This represents the largest portion of the PCF, encompassing emissions from the entire value chain.</w:t>
      </w:r>
    </w:p>
    <w:p>
      <w:pPr>
        <w:numPr>
          <w:ilvl w:val="1"/>
          <w:numId w:val="1009"/>
        </w:numPr>
        <w:pStyle w:val="Compact"/>
      </w:pPr>
      <w:r>
        <w:rPr>
          <w:bCs/>
          <w:b/>
        </w:rPr>
        <w:t xml:space="preserve">Upstream Scope 3:</w:t>
      </w:r>
    </w:p>
    <w:p>
      <w:pPr>
        <w:numPr>
          <w:ilvl w:val="2"/>
          <w:numId w:val="1010"/>
        </w:numPr>
        <w:pStyle w:val="Compact"/>
      </w:pPr>
      <w:r>
        <w:t xml:space="preserve">Extraction, production, and processing of raw materials (detailed by `vksltvsz`).</w:t>
      </w:r>
    </w:p>
    <w:p>
      <w:pPr>
        <w:numPr>
          <w:ilvl w:val="2"/>
          <w:numId w:val="1010"/>
        </w:numPr>
        <w:pStyle w:val="Compact"/>
      </w:pPr>
      <w:r>
        <w:t xml:space="preserve">Transportation of raw materials and components from Europe-focused suppliers to the manufacturing facility in China (influenced by `Select Mode` and `pyrgzixkwg`).</w:t>
      </w:r>
    </w:p>
    <w:p>
      <w:pPr>
        <w:numPr>
          <w:ilvl w:val="1"/>
          <w:numId w:val="1009"/>
        </w:numPr>
        <w:pStyle w:val="Compact"/>
      </w:pPr>
      <w:r>
        <w:rPr>
          <w:bCs/>
          <w:b/>
        </w:rPr>
        <w:t xml:space="preserve">Downstream Scope 3:</w:t>
      </w:r>
    </w:p>
    <w:p>
      <w:pPr>
        <w:numPr>
          <w:ilvl w:val="2"/>
          <w:numId w:val="1011"/>
        </w:numPr>
        <w:pStyle w:val="Compact"/>
      </w:pPr>
      <w:r>
        <w:t xml:space="preserve">Transportation of the finished product from the factory gate to the customer (influenced by `Select Mode` and `Delivery Type`).</w:t>
      </w:r>
    </w:p>
    <w:p>
      <w:pPr>
        <w:numPr>
          <w:ilvl w:val="2"/>
          <w:numId w:val="1011"/>
        </w:numPr>
        <w:pStyle w:val="Compact"/>
      </w:pPr>
      <w:r>
        <w:t xml:space="preserve">Emissions during the use phase of uqksdrvujx, derived from `lwjjvdvtvy` (Product Lifespan) and `glsuhlumhr` (Energy Consumption in Use).</w:t>
      </w:r>
    </w:p>
    <w:p>
      <w:pPr>
        <w:numPr>
          <w:ilvl w:val="2"/>
          <w:numId w:val="1011"/>
        </w:numPr>
        <w:pStyle w:val="Compact"/>
      </w:pPr>
      <w:r>
        <w:t xml:space="preserve">End-of-life treatment of uqksdrvujx, considering `exuujhttdq` (Recyclability Percentage) and `mxizjoidjd` (Circular/Take-back Programs) for avoided emissions or disposal impacts.</w:t>
      </w:r>
    </w:p>
    <w:p>
      <w:pPr>
        <w:numPr>
          <w:ilvl w:val="0"/>
          <w:numId w:val="1000"/>
        </w:numPr>
        <w:pStyle w:val="Compact"/>
      </w:pPr>
      <w:r>
        <w:t xml:space="preserve">As per 2026 requirements, efforts are made to ensure Scope 3 coverage exceeds 95% of total value chain emissions.</w:t>
      </w:r>
    </w:p>
    <w:bookmarkEnd w:id="35"/>
    <w:bookmarkStart w:id="36" w:name="land-sector-and-removals-lsr-standard"/>
    <w:p>
      <w:pPr>
        <w:pStyle w:val="Heading3"/>
      </w:pPr>
      <w:r>
        <w:t xml:space="preserve">Land Sector and Removals (LSR) Standard</w:t>
      </w:r>
    </w:p>
    <w:p>
      <w:pPr>
        <w:pStyle w:val="FirstParagraph"/>
      </w:pPr>
      <w:r>
        <w:t xml:space="preserve">The 2026 LSR Standard is integrated by assessing potential land-use change impacts associated with raw material sourcing, particularly for bio-based or agricultural inputs. This includes evaluating emissions from deforestation, soil carbon depletion, or, conversely, removals through sustainable land management or carbon sequestration where applicable within the supply chain. For a product like uqksdrvujx, if it contains materials with significant land footprint (e.g., wood, cotton, bio-plastics), the LSR standard would account for these specific impacts.</w:t>
      </w:r>
    </w:p>
    <w:p>
      <w:r>
        <w:pict>
          <v:rect style="width:0;height:1.5pt" o:hralign="center" o:hrstd="t" o:hr="t"/>
        </w:pict>
      </w:r>
    </w:p>
    <w:bookmarkEnd w:id="36"/>
    <w:bookmarkEnd w:id="37"/>
    <w:bookmarkStart w:id="39"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A thorough review would highlight emission hotspots—stages or components contributing most significantly to the overall PCF. Based on the illustrative data:</w:t>
      </w:r>
    </w:p>
    <w:p>
      <w:pPr>
        <w:numPr>
          <w:ilvl w:val="0"/>
          <w:numId w:val="1012"/>
        </w:numPr>
        <w:pStyle w:val="Compact"/>
      </w:pPr>
      <w:r>
        <w:rPr>
          <w:bCs/>
          <w:b/>
        </w:rPr>
        <w:t xml:space="preserve">Material Production:</w:t>
      </w:r>
      <w:r>
        <w:t xml:space="preserve"> </w:t>
      </w:r>
      <w:r>
        <w:t xml:space="preserve">High-impact materials like aluminum (illustrative example) typically represent significant upstream Scope 3 emissions.</w:t>
      </w:r>
    </w:p>
    <w:p>
      <w:pPr>
        <w:numPr>
          <w:ilvl w:val="0"/>
          <w:numId w:val="1012"/>
        </w:numPr>
        <w:pStyle w:val="Compact"/>
      </w:pPr>
      <w:r>
        <w:rPr>
          <w:bCs/>
          <w:b/>
        </w:rPr>
        <w:t xml:space="preserve">Manufacturing Energy:</w:t>
      </w:r>
      <w:r>
        <w:t xml:space="preserve"> </w:t>
      </w:r>
      <w:r>
        <w:t xml:space="preserve">If the local grid mix in China has a high carbon intensity, manufacturing energy (Scope 2) can be a major hotspot, especially if renewable energy usage (`gdyknvhsvh`) is low.</w:t>
      </w:r>
    </w:p>
    <w:p>
      <w:pPr>
        <w:numPr>
          <w:ilvl w:val="0"/>
          <w:numId w:val="1012"/>
        </w:numPr>
        <w:pStyle w:val="Compact"/>
      </w:pPr>
      <w:r>
        <w:rPr>
          <w:bCs/>
          <w:b/>
        </w:rPr>
        <w:t xml:space="preserve">Use Phase:</w:t>
      </w:r>
      <w:r>
        <w:t xml:space="preserve"> </w:t>
      </w:r>
      <w:r>
        <w:t xml:space="preserve">For energy-consuming products, the `glsuhlumhr` (Energy Consumption in Use) over `lwjjvdvtvy` (Product Lifespan) can dominate the PCF if grid electricity is carbon-intensive.</w:t>
      </w:r>
    </w:p>
    <w:p>
      <w:pPr>
        <w:numPr>
          <w:ilvl w:val="0"/>
          <w:numId w:val="1012"/>
        </w:numPr>
        <w:pStyle w:val="Compact"/>
      </w:pPr>
      <w:r>
        <w:rPr>
          <w:bCs/>
          <w:b/>
        </w:rPr>
        <w:t xml:space="preserve">Transportation:</w:t>
      </w:r>
      <w:r>
        <w:t xml:space="preserve"> </w:t>
      </w:r>
      <w:r>
        <w:t xml:space="preserve">Long distances (`pyrgzixkwg`) and carbon-intensive modes (`Select Mode`, `Delivery Type`) for global supply chains can significantly contribute to Scope 3 emissions.</w:t>
      </w:r>
    </w:p>
    <w:p>
      <w:pPr>
        <w:pStyle w:val="FirstParagraph"/>
      </w:pPr>
      <w:r>
        <w:t xml:space="preserve">The reliability of this analysis is contingent upon the accuracy and completeness of the provided activity data and the appropriateness of the chosen emission factors. While industry-standard factors are used, primary data collection for all inputs would further enhance precision.</w:t>
      </w:r>
    </w:p>
    <w:p>
      <w:r>
        <w:pict>
          <v:rect style="width:0;height:1.5pt" o:hralign="center" o:hrstd="t" o:hr="t"/>
        </w:pict>
      </w:r>
    </w:p>
    <w:bookmarkEnd w:id="38"/>
    <w:bookmarkEnd w:id="39"/>
    <w:bookmarkStart w:id="42" w:name="key-findings-and-recommendations"/>
    <w:p>
      <w:pPr>
        <w:pStyle w:val="Heading2"/>
      </w:pPr>
      <w:r>
        <w:t xml:space="preserve">Key Findings and Recommendations</w:t>
      </w:r>
    </w:p>
    <w:bookmarkStart w:id="40" w:name="key-findings"/>
    <w:p>
      <w:pPr>
        <w:pStyle w:val="Heading3"/>
      </w:pPr>
      <w:r>
        <w:t xml:space="preserve">Key Findings:</w:t>
      </w:r>
    </w:p>
    <w:p>
      <w:pPr>
        <w:numPr>
          <w:ilvl w:val="0"/>
          <w:numId w:val="1013"/>
        </w:numPr>
        <w:pStyle w:val="Compact"/>
      </w:pPr>
      <w:r>
        <w:t xml:space="preserve">The PCF of uqksdrvujx is influenced significantly by both material choices (upstream Scope 3) and energy consumption during manufacturing (Scope 2) and use (downstream Scope 3).</w:t>
      </w:r>
    </w:p>
    <w:p>
      <w:pPr>
        <w:numPr>
          <w:ilvl w:val="0"/>
          <w:numId w:val="1013"/>
        </w:numPr>
        <w:pStyle w:val="Compact"/>
      </w:pPr>
      <w:r>
        <w:t xml:space="preserve">The "Europe Focused" supply chain for materials combined with "China" for final production implies considerable transport emissions.</w:t>
      </w:r>
    </w:p>
    <w:p>
      <w:pPr>
        <w:numPr>
          <w:ilvl w:val="0"/>
          <w:numId w:val="1013"/>
        </w:numPr>
        <w:pStyle w:val="Compact"/>
      </w:pPr>
      <w:r>
        <w:t xml:space="preserve">The effectiveness of `exuujhttdq` (Recyclability Percentage) and `mxizjoidjd` (Circular/Take-back Programs) are crucial for mitigating end-of-life impacts.</w:t>
      </w:r>
    </w:p>
    <w:bookmarkEnd w:id="40"/>
    <w:bookmarkStart w:id="41" w:name="X788fbff7c021e2a678ac07c45b3966641b0fc80"/>
    <w:p>
      <w:pPr>
        <w:pStyle w:val="Heading3"/>
      </w:pPr>
      <w:r>
        <w:t xml:space="preserve">Recommendations for Carbon Footprint Reduction:</w:t>
      </w:r>
    </w:p>
    <w:p>
      <w:pPr>
        <w:numPr>
          <w:ilvl w:val="0"/>
          <w:numId w:val="1014"/>
        </w:numPr>
        <w:pStyle w:val="Compact"/>
      </w:pPr>
      <w:r>
        <w:rPr>
          <w:bCs/>
          <w:b/>
        </w:rPr>
        <w:t xml:space="preserve">Material Optimization:</w:t>
      </w:r>
    </w:p>
    <w:p>
      <w:pPr>
        <w:numPr>
          <w:ilvl w:val="1"/>
          <w:numId w:val="1015"/>
        </w:numPr>
        <w:pStyle w:val="Compact"/>
      </w:pPr>
      <w:r>
        <w:t xml:space="preserve">Explore alternative materials with lower embodied carbon, while maintaining product performance.</w:t>
      </w:r>
    </w:p>
    <w:p>
      <w:pPr>
        <w:numPr>
          <w:ilvl w:val="1"/>
          <w:numId w:val="1015"/>
        </w:numPr>
        <w:pStyle w:val="Compact"/>
      </w:pPr>
      <w:r>
        <w:t xml:space="preserve">Increase the use of recycled content in materials, leveraging high `exuujhttdq` where possible.</w:t>
      </w:r>
    </w:p>
    <w:p>
      <w:pPr>
        <w:numPr>
          <w:ilvl w:val="0"/>
          <w:numId w:val="1014"/>
        </w:numPr>
        <w:pStyle w:val="Compact"/>
      </w:pPr>
      <w:r>
        <w:rPr>
          <w:bCs/>
          <w:b/>
        </w:rPr>
        <w:t xml:space="preserve">Manufacturing Efficiency:</w:t>
      </w:r>
    </w:p>
    <w:p>
      <w:pPr>
        <w:numPr>
          <w:ilvl w:val="1"/>
          <w:numId w:val="1016"/>
        </w:numPr>
        <w:pStyle w:val="Compact"/>
      </w:pPr>
      <w:r>
        <w:t xml:space="preserve">Increase `gdyknvhsvh` (Renewable Energy Usage) at the manufacturing facility in China by procuring renewable energy or investing in on-site generation.</w:t>
      </w:r>
    </w:p>
    <w:p>
      <w:pPr>
        <w:numPr>
          <w:ilvl w:val="1"/>
          <w:numId w:val="1016"/>
        </w:numPr>
        <w:pStyle w:val="Compact"/>
      </w:pPr>
      <w:r>
        <w:t xml:space="preserve">Optimize manufacturing processes to reduce `dssuzvlqnh` (Energy Intensity) per unit.</w:t>
      </w:r>
    </w:p>
    <w:p>
      <w:pPr>
        <w:numPr>
          <w:ilvl w:val="0"/>
          <w:numId w:val="1014"/>
        </w:numPr>
        <w:pStyle w:val="Compact"/>
      </w:pPr>
      <w:r>
        <w:rPr>
          <w:bCs/>
          <w:b/>
        </w:rPr>
        <w:t xml:space="preserve">Logistics Optimization:</w:t>
      </w:r>
    </w:p>
    <w:p>
      <w:pPr>
        <w:numPr>
          <w:ilvl w:val="1"/>
          <w:numId w:val="1017"/>
        </w:numPr>
        <w:pStyle w:val="Compact"/>
      </w:pPr>
      <w:r>
        <w:t xml:space="preserve">Strategically review supply chain routes and `Select Mode` of transport to minimize `pyrgzixkwg` and shift to lower-emission modes (e.g., rail or sea over air freight).</w:t>
      </w:r>
    </w:p>
    <w:p>
      <w:pPr>
        <w:numPr>
          <w:ilvl w:val="1"/>
          <w:numId w:val="1017"/>
        </w:numPr>
        <w:pStyle w:val="Compact"/>
      </w:pPr>
      <w:r>
        <w:t xml:space="preserve">Optimize `Delivery Type` for last-mile delivery, considering electric vehicles or more efficient routing.</w:t>
      </w:r>
    </w:p>
    <w:p>
      <w:pPr>
        <w:numPr>
          <w:ilvl w:val="0"/>
          <w:numId w:val="1014"/>
        </w:numPr>
        <w:pStyle w:val="Compact"/>
      </w:pPr>
      <w:r>
        <w:rPr>
          <w:bCs/>
          <w:b/>
        </w:rPr>
        <w:t xml:space="preserve">Product Design for Use Phase:</w:t>
      </w:r>
    </w:p>
    <w:p>
      <w:pPr>
        <w:numPr>
          <w:ilvl w:val="1"/>
          <w:numId w:val="1018"/>
        </w:numPr>
        <w:pStyle w:val="Compact"/>
      </w:pPr>
      <w:r>
        <w:t xml:space="preserve">Improve energy efficiency of uqksdrvujx to reduce `glsuhlumhr` (Energy Consumption in Use) over its `lwjjvdvtvy` (Product Lifespan).</w:t>
      </w:r>
    </w:p>
    <w:p>
      <w:pPr>
        <w:numPr>
          <w:ilvl w:val="1"/>
          <w:numId w:val="1018"/>
        </w:numPr>
        <w:pStyle w:val="Compact"/>
      </w:pPr>
      <w:r>
        <w:t xml:space="preserve">Design for durability and repairability to extend `lwjjvdvtvy`.</w:t>
      </w:r>
    </w:p>
    <w:p>
      <w:pPr>
        <w:numPr>
          <w:ilvl w:val="0"/>
          <w:numId w:val="1014"/>
        </w:numPr>
        <w:pStyle w:val="Compact"/>
      </w:pPr>
      <w:r>
        <w:rPr>
          <w:bCs/>
          <w:b/>
        </w:rPr>
        <w:t xml:space="preserve">Circular Economy Integration:</w:t>
      </w:r>
    </w:p>
    <w:p>
      <w:pPr>
        <w:numPr>
          <w:ilvl w:val="1"/>
          <w:numId w:val="1019"/>
        </w:numPr>
        <w:pStyle w:val="Compact"/>
      </w:pPr>
      <w:r>
        <w:t xml:space="preserve">Actively promote and expand `mxizjoidjd` (Circular/Take-back Programs) to maximize material recovery and reuse, reducing the need for virgin resources.</w:t>
      </w:r>
    </w:p>
    <w:p>
      <w:pPr>
        <w:numPr>
          <w:ilvl w:val="1"/>
          <w:numId w:val="1019"/>
        </w:numPr>
        <w:pStyle w:val="Compact"/>
      </w:pPr>
      <w:r>
        <w:t xml:space="preserve">Further enhance product design for disassembly and material separation to achieve even higher `exuujhttdq`.</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uqksdrvujx</dc:title>
  <dc:creator/>
  <dc:description>Detailed Product Carbon Footprint (PCF) analysis report for uqksdrvujx by xnudnnjolg, following GHG Protocol standards and 2026 LSR updates.</dc:description>
  <dc:language>en</dc:language>
  <cp:keywords/>
  <dcterms:created xsi:type="dcterms:W3CDTF">2026-05-30T18:31:27Z</dcterms:created>
  <dcterms:modified xsi:type="dcterms:W3CDTF">2026-05-30T18:31:27Z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