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uorqgioguy</w:t>
      </w:r>
    </w:p>
    <w:bookmarkStart w:id="20" w:name="carboncalcpcf.com"/>
    <w:p>
      <w:pPr>
        <w:pStyle w:val="Heading1"/>
      </w:pPr>
      <w:r>
        <w:t xml:space="preserve">carboncalcpcf.com</w:t>
      </w:r>
    </w:p>
    <w:p>
      <w:pPr>
        <w:pStyle w:val="FirstParagraph"/>
      </w:pPr>
      <w:r>
        <w:rPr>
          <w:bCs/>
          <w:b/>
        </w:rPr>
        <w:t xml:space="preserve">Product Carbon Footprint (PCF) Analysis Report</w:t>
      </w:r>
    </w:p>
    <w:p>
      <w:pPr>
        <w:pStyle w:val="BodyText"/>
      </w:pPr>
      <w:r>
        <w:rPr>
          <w:bCs/>
          <w:b/>
        </w:rPr>
        <w:t xml:space="preserve">Product:</w:t>
      </w:r>
      <w:r>
        <w:t xml:space="preserve"> </w:t>
      </w:r>
      <w:r>
        <w:t xml:space="preserve">uorqgioguy</w:t>
      </w:r>
    </w:p>
    <w:p>
      <w:pPr>
        <w:pStyle w:val="BodyText"/>
      </w:pPr>
      <w:r>
        <w:rPr>
          <w:bCs/>
          <w:b/>
        </w:rPr>
        <w:t xml:space="preserve">Company Name:</w:t>
      </w:r>
      <w:r>
        <w:t xml:space="preserve"> </w:t>
      </w:r>
      <w:r>
        <w:t xml:space="preserve">xwzgnwqhjd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nikxdnlepx</w:t>
      </w:r>
    </w:p>
    <w:p>
      <w:pPr>
        <w:pStyle w:val="BodyText"/>
      </w:pPr>
      <w:r>
        <w:t xml:space="preserve">This report is generated based on available data and industry standards, including specific parameters provided by the user. While every effort has been made to ensure accuracy and adherence to established methodologies, the results are indicative and subject to the quality and completeness of the input data and chosen emission factors.</w:t>
      </w:r>
    </w:p>
    <w:bookmarkEnd w:id="20"/>
    <w:bookmarkStart w:id="21" w:name="Xe7565815bc76320ec859ae9c1416ccacf356e5d"/>
    <w:p>
      <w:pPr>
        <w:pStyle w:val="Heading1"/>
      </w:pPr>
      <w:r>
        <w:t xml:space="preserve">Product Carbon Footprint (PCF) Analysis for uorqgioguy</w:t>
      </w:r>
    </w:p>
    <w:p>
      <w:pPr>
        <w:pStyle w:val="FirstParagraph"/>
      </w:pPr>
      <w:r>
        <w:rPr>
          <w:bCs/>
          <w:b/>
        </w:rPr>
        <w:t xml:space="preserve">Generated Date:</w:t>
      </w:r>
      <w:r>
        <w:t xml:space="preserve"> </w:t>
      </w:r>
      <w:r>
        <w:t xml:space="preserve">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"uorqgioguy" manufactured by "xwzgnwqhjd". The analysis was conducted by nikxdnlepx, a Senior Sustainability Consultant specializing in GHG Protocol. The primary objective is to quantify the greenhouse gas (GHG) emissions associated with the entire lifecycle of "uorqgioguy", from raw material acquisition to end-of-life, adhering strictly to the GHG Protocol\'s accounting standards and incorporating the 2026 Land Sector and Removals (LSR) Standard update where applicable.</w:t>
      </w:r>
    </w:p>
    <w:p>
      <w:pPr>
        <w:pStyle w:val="BodyText"/>
      </w:pPr>
      <w:r>
        <w:t xml:space="preserve">The analysis covers all relevant lifecycle stages, categorizing emissions into Scope 1, Scope 2, and Scope 3 as per GHG Protocol guidelines. Key hotspots identified typically include material acquisition and the product use phase, with transportation and end-of-life management also contributing significantly. This report aims to provide a robust and transparent assessment to inform sustainability strategies and identify areas for emission reduction.</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 of this PCF analysis is a clear definition of its scope, ensuring consistency and comparability.</w:t>
      </w:r>
    </w:p>
    <w:p>
      <w:pPr>
        <w:numPr>
          <w:ilvl w:val="0"/>
          <w:numId w:val="1001"/>
        </w:numPr>
        <w:pStyle w:val="Compact"/>
      </w:pPr>
      <w:r>
        <w:rPr>
          <w:bCs/>
          <w:b/>
        </w:rPr>
        <w:t xml:space="preserve">Functional Unit:</w:t>
      </w:r>
      <w:r>
        <w:t xml:space="preserve"> </w:t>
      </w:r>
      <w:r>
        <w:t xml:space="preserve">1.0 unit of uorqgioguy.</w:t>
      </w:r>
    </w:p>
    <w:p>
      <w:pPr>
        <w:numPr>
          <w:ilvl w:val="0"/>
          <w:numId w:val="1001"/>
        </w:numPr>
        <w:pStyle w:val="Compact"/>
      </w:pPr>
      <w:r>
        <w:rPr>
          <w:bCs/>
          <w:b/>
        </w:rPr>
        <w:t xml:space="preserve">System Boundary:</w:t>
      </w:r>
      <w:r>
        <w:t xml:space="preserve"> </w:t>
      </w:r>
      <w:r>
        <w:t xml:space="preserve">Cradle-to-gate, with extended analysis for the use phase and end-of-life scenarios. The primary system boundary for direct manufacturing emissions is set at \'factory_gate\'.</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production electricity mixes are based on China, while raw material sourcing and product distribution consider European supply chains.</w:t>
      </w:r>
    </w:p>
    <w:p>
      <w:pPr>
        <w:numPr>
          <w:ilvl w:val="0"/>
          <w:numId w:val="1001"/>
        </w:numPr>
        <w:pStyle w:val="Compact"/>
      </w:pPr>
      <w:r>
        <w:rPr>
          <w:bCs/>
          <w:b/>
        </w:rPr>
        <w:t xml:space="preserve">Accounting Standard:</w:t>
      </w:r>
      <w:r>
        <w:t xml:space="preserve"> </w:t>
      </w:r>
      <w:r>
        <w:t xml:space="preserve">GHG Protocol, specifically applying the Product Standard (GHG Protocol Product Life Cycle Accounting and Reporting Standard).</w:t>
      </w:r>
    </w:p>
    <w:p>
      <w:pPr>
        <w:numPr>
          <w:ilvl w:val="0"/>
          <w:numId w:val="1001"/>
        </w:numPr>
        <w:pStyle w:val="Compact"/>
      </w:pPr>
      <w:r>
        <w:rPr>
          <w:bCs/>
          <w:b/>
        </w:rPr>
        <w:t xml:space="preserve">Allocation:</w:t>
      </w:r>
      <w:r>
        <w:t xml:space="preserve"> </w:t>
      </w:r>
      <w:r>
        <w:t xml:space="preserve">Emissions are allocated based on physical mass for co-products where applicable, and on a direct attributional basis for single-product processes.</w:t>
      </w:r>
    </w:p>
    <w:p>
      <w:r>
        <w:pict>
          <v:rect style="width:0;height:1.5pt" o:hralign="center" o:hrstd="t" o:hr="t"/>
        </w:pict>
      </w:r>
    </w:p>
    <w:bookmarkEnd w:id="23"/>
    <w:bookmarkStart w:id="29" w:name="lifecycle-mapping-data-collection"/>
    <w:p>
      <w:pPr>
        <w:pStyle w:val="Heading2"/>
      </w:pPr>
      <w:r>
        <w:t xml:space="preserve">2. Lifecycle Mapping &amp; Data Collection</w:t>
      </w:r>
    </w:p>
    <w:p>
      <w:pPr>
        <w:pStyle w:val="FirstParagraph"/>
      </w:pPr>
      <w:r>
        <w:t xml:space="preserve">This section details the lifecycle stages considered and the specific data collected for each, as per the provided parameters. The analysis strives for at least 95% coverage for Scope 3 reporting in line with 2026 requirements, utilizing the detailed Bill of Materials (BOM) for high-accuracy material impact calculation.</w:t>
      </w:r>
    </w:p>
    <w:bookmarkStart w:id="24" w:name="X6bc46a1cedd8a4d5db5456d91bf298765a8482c"/>
    <w:p>
      <w:pPr>
        <w:pStyle w:val="Heading3"/>
      </w:pPr>
      <w:r>
        <w:t xml:space="preserve">2.1. Detailed Bill of Materials (BOM) - Materials Acquisition &amp; Pre-processing (Scope 3 Upstream)</w:t>
      </w:r>
    </w:p>
    <w:p>
      <w:pPr>
        <w:pStyle w:val="FirstParagraph"/>
      </w:pPr>
      <w:r>
        <w:t xml:space="preserve">The following detailed Bill of Materials (BOM) was provided and used for the material impact calculation. The \'Total Carbon\' values represent the cradle-to-gate emissions for each material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Metal Connector</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bl>
    <w:p>
      <w:pPr>
        <w:pStyle w:val="BodyText"/>
      </w:pPr>
      <w:r>
        <w:rPr>
          <w:bCs/>
          <w:b/>
        </w:rPr>
        <w:t xml:space="preserve">Total Carbon from Materials:</w:t>
      </w:r>
      <w:r>
        <w:t xml:space="preserve"> </w:t>
      </w:r>
      <w:r>
        <w:t xml:space="preserve">11.7 kgCO2e</w:t>
      </w:r>
    </w:p>
    <w:bookmarkEnd w:id="24"/>
    <w:bookmarkStart w:id="25" w:name="X264cbba818e50c4e0ae5cff7d4bf886276b510b"/>
    <w:p>
      <w:pPr>
        <w:pStyle w:val="Heading3"/>
      </w:pPr>
      <w:r>
        <w:t xml:space="preserve">2.2. Production/Manufacturing Phase (Scope 1 &amp; 2, partial Scope 3)</w:t>
      </w:r>
    </w:p>
    <w:p>
      <w:pPr>
        <w:pStyle w:val="FirstParagraph"/>
      </w:pPr>
      <w:r>
        <w:t xml:space="preserve">Energy inputs for the production phase are customized as follows:</w:t>
      </w:r>
    </w:p>
    <w:p>
      <w:pPr>
        <w:numPr>
          <w:ilvl w:val="0"/>
          <w:numId w:val="1002"/>
        </w:numPr>
        <w:pStyle w:val="Compact"/>
      </w:pPr>
      <w:r>
        <w:rPr>
          <w:bCs/>
          <w:b/>
        </w:rPr>
        <w:t xml:space="preserve">Renewable Energy Usage:</w:t>
      </w:r>
      <w:r>
        <w:t xml:space="preserve"> </w:t>
      </w:r>
      <w:r>
        <w:t xml:space="preserve">yxkirefpem (e.g., 60%)</w:t>
      </w:r>
    </w:p>
    <w:p>
      <w:pPr>
        <w:numPr>
          <w:ilvl w:val="0"/>
          <w:numId w:val="1002"/>
        </w:numPr>
        <w:pStyle w:val="Compact"/>
      </w:pPr>
      <w:r>
        <w:rPr>
          <w:bCs/>
          <w:b/>
        </w:rPr>
        <w:t xml:space="preserve">Energy Intensity (kWh/unit):</w:t>
      </w:r>
      <w:r>
        <w:t xml:space="preserve"> </w:t>
      </w:r>
      <w:r>
        <w:t xml:space="preserve">mvdlfmluxk (e.g., 0.8 kWh/unit)</w:t>
      </w:r>
    </w:p>
    <w:p>
      <w:pPr>
        <w:pStyle w:val="FirstParagraph"/>
      </w:pPr>
      <w:r>
        <w:t xml:space="preserve">For calculation demonstration, we assume a Renewable Energy Usage of 60% and an Energy Intensity of 0.8 kWh/unit. The remaining 40% of electricity is assumed to be sourced from the national grid.</w:t>
      </w:r>
    </w:p>
    <w:p>
      <w:pPr>
        <w:pStyle w:val="BodyText"/>
      </w:pPr>
      <w:r>
        <w:rPr>
          <w:bCs/>
          <w:b/>
        </w:rPr>
        <w:t xml:space="preserve">Geographic Context:</w:t>
      </w:r>
      <w:r>
        <w:t xml:space="preserve"> </w:t>
      </w:r>
      <w:r>
        <w:t xml:space="preserve">Final Production Country: China.</w:t>
      </w:r>
    </w:p>
    <w:bookmarkEnd w:id="25"/>
    <w:bookmarkStart w:id="26" w:name="Xa72cd89f200eee69afd134ad22c65583d62e21f"/>
    <w:p>
      <w:pPr>
        <w:pStyle w:val="Heading3"/>
      </w:pPr>
      <w:r>
        <w:t xml:space="preserve">2.3. Transportation (Scope 3 Upstream &amp; Downstream)</w:t>
      </w:r>
    </w:p>
    <w:p>
      <w:pPr>
        <w:pStyle w:val="FirstParagraph"/>
      </w:pPr>
      <w:r>
        <w:t xml:space="preserve">Specific logistics data provided:</w:t>
      </w:r>
    </w:p>
    <w:p>
      <w:pPr>
        <w:numPr>
          <w:ilvl w:val="0"/>
          <w:numId w:val="1003"/>
        </w:numPr>
        <w:pStyle w:val="Compact"/>
      </w:pPr>
      <w:r>
        <w:rPr>
          <w:bCs/>
          <w:b/>
        </w:rPr>
        <w:t xml:space="preserve">Transport Mode:</w:t>
      </w:r>
      <w:r>
        <w:t xml:space="preserve"> </w:t>
      </w:r>
      <w:r>
        <w:t xml:space="preserve">Select Mode (e.g., Road Freight - Heavy Goods Vehicle)</w:t>
      </w:r>
    </w:p>
    <w:p>
      <w:pPr>
        <w:numPr>
          <w:ilvl w:val="0"/>
          <w:numId w:val="1003"/>
        </w:numPr>
        <w:pStyle w:val="Compact"/>
      </w:pPr>
      <w:r>
        <w:rPr>
          <w:bCs/>
          <w:b/>
        </w:rPr>
        <w:t xml:space="preserve">Transport Distance:</w:t>
      </w:r>
      <w:r>
        <w:t xml:space="preserve"> </w:t>
      </w:r>
      <w:r>
        <w:t xml:space="preserve">hnowifkpyf (e.g., 1500 km)</w:t>
      </w:r>
    </w:p>
    <w:p>
      <w:pPr>
        <w:numPr>
          <w:ilvl w:val="0"/>
          <w:numId w:val="1003"/>
        </w:numPr>
        <w:pStyle w:val="Compact"/>
      </w:pPr>
      <w:r>
        <w:rPr>
          <w:bCs/>
          <w:b/>
        </w:rPr>
        <w:t xml:space="preserve">Last-Mile Delivery Channel:</w:t>
      </w:r>
      <w:r>
        <w:t xml:space="preserve"> </w:t>
      </w:r>
      <w:r>
        <w:t xml:space="preserve">Delivery Type (e.g., Courier Service - Light Commercial Vehicle)</w:t>
      </w:r>
    </w:p>
    <w:p>
      <w:pPr>
        <w:pStyle w:val="FirstParagraph"/>
      </w:pPr>
      <w:r>
        <w:t xml:space="preserve">For calculation demonstration, we assume the transport mode is "Road Freight (Heavy Goods Vehicle)" for a distance of "1500 km" for distribution to the first customer/warehouse, followed by a "Courier Service (Light Commercial Vehicle)" for last-mile delivery. The total weight of the product for transport calculation is estimated from the BOM to be approximately 0.72 kg (0.5 kg plastic + 0.02 kg metal + 0.1 kg paper + 0.1 kg estimate for circuit board).</w:t>
      </w:r>
    </w:p>
    <w:bookmarkEnd w:id="26"/>
    <w:bookmarkStart w:id="27" w:name="use-phase-scope-3-downstream"/>
    <w:p>
      <w:pPr>
        <w:pStyle w:val="Heading3"/>
      </w:pPr>
      <w:r>
        <w:t xml:space="preserve">2.4. Use Phase (Scope 3 Downstream)</w:t>
      </w:r>
    </w:p>
    <w:p>
      <w:pPr>
        <w:pStyle w:val="FirstParagraph"/>
      </w:pPr>
      <w:r>
        <w:t xml:space="preserve">Durability and consumption data for the use phase are:</w:t>
      </w:r>
    </w:p>
    <w:p>
      <w:pPr>
        <w:numPr>
          <w:ilvl w:val="0"/>
          <w:numId w:val="1004"/>
        </w:numPr>
        <w:pStyle w:val="Compact"/>
      </w:pPr>
      <w:r>
        <w:rPr>
          <w:bCs/>
          <w:b/>
        </w:rPr>
        <w:t xml:space="preserve">Product Lifespan:</w:t>
      </w:r>
      <w:r>
        <w:t xml:space="preserve"> </w:t>
      </w:r>
      <w:r>
        <w:t xml:space="preserve">qwmnnyjdql (e.g., 5 years)</w:t>
      </w:r>
    </w:p>
    <w:p>
      <w:pPr>
        <w:numPr>
          <w:ilvl w:val="0"/>
          <w:numId w:val="1004"/>
        </w:numPr>
        <w:pStyle w:val="Compact"/>
      </w:pPr>
      <w:r>
        <w:rPr>
          <w:bCs/>
          <w:b/>
        </w:rPr>
        <w:t xml:space="preserve">Energy Consumption in Use:</w:t>
      </w:r>
      <w:r>
        <w:t xml:space="preserve"> </w:t>
      </w:r>
      <w:r>
        <w:t xml:space="preserve">mgmfjoweyv (e.g., 10 kWh/year)</w:t>
      </w:r>
    </w:p>
    <w:p>
      <w:pPr>
        <w:pStyle w:val="FirstParagraph"/>
      </w:pPr>
      <w:r>
        <w:t xml:space="preserve">For calculation demonstration, we assume a Product Lifespan of 5 years and Energy Consumption in Use of 10 kWh/year. Energy consumption in the use phase is assumed to draw from the local electricity grid where the product is used, which, given a Europe-focused supply chain, would typically be the European grid mix. However, for consistency and as a default, we will use the Chinese grid factor as the geographical scope defined "Final Production Country: China" for its emission factor baseline, unless a specific consumption country\'s grid mix is specified for the use phase.</w:t>
      </w:r>
    </w:p>
    <w:bookmarkEnd w:id="27"/>
    <w:bookmarkStart w:id="28" w:name="X0b1a7869ec5c89eda6252c7ad7e638ee66010db"/>
    <w:p>
      <w:pPr>
        <w:pStyle w:val="Heading3"/>
      </w:pPr>
      <w:r>
        <w:t xml:space="preserve">2.5. End-of-Life (EoL) Scenarios (Scope 3 Downstream)</w:t>
      </w:r>
    </w:p>
    <w:p>
      <w:pPr>
        <w:pStyle w:val="FirstParagraph"/>
      </w:pPr>
      <w:r>
        <w:t xml:space="preserve">EoL parameters reflect circular economy impacts:</w:t>
      </w:r>
    </w:p>
    <w:p>
      <w:pPr>
        <w:numPr>
          <w:ilvl w:val="0"/>
          <w:numId w:val="1005"/>
        </w:numPr>
        <w:pStyle w:val="Compact"/>
      </w:pPr>
      <w:r>
        <w:rPr>
          <w:bCs/>
          <w:b/>
        </w:rPr>
        <w:t xml:space="preserve">Recyclability Percentage:</w:t>
      </w:r>
      <w:r>
        <w:t xml:space="preserve"> </w:t>
      </w:r>
      <w:r>
        <w:t xml:space="preserve">ylggfvfpyp (e.g., 70%)</w:t>
      </w:r>
    </w:p>
    <w:p>
      <w:pPr>
        <w:numPr>
          <w:ilvl w:val="0"/>
          <w:numId w:val="1005"/>
        </w:numPr>
        <w:pStyle w:val="Compact"/>
      </w:pPr>
      <w:r>
        <w:rPr>
          <w:bCs/>
          <w:b/>
        </w:rPr>
        <w:t xml:space="preserve">Circular/Take-back Programs:</w:t>
      </w:r>
      <w:r>
        <w:t xml:space="preserve"> </w:t>
      </w:r>
      <w:r>
        <w:t xml:space="preserve">zdxirlsuqm (e.g., Yes, comprehensive product take-back program in operation)</w:t>
      </w:r>
    </w:p>
    <w:p>
      <w:pPr>
        <w:pStyle w:val="FirstParagraph"/>
      </w:pPr>
      <w:r>
        <w:t xml:space="preserve">For calculation demonstration, a Recyclability Percentage of 70% is applied, indicating that 70% of the product\'s material mass is captured for recycling. The presence of comprehensive circular/take-back programs further supports the effective implementation of these recycling efforts, potentially reducing the net environmental impact associated with the EoL phase.</w:t>
      </w:r>
    </w:p>
    <w:p>
      <w:r>
        <w:pict>
          <v:rect style="width:0;height:1.5pt" o:hralign="center" o:hrstd="t" o:hr="t"/>
        </w:pict>
      </w:r>
    </w:p>
    <w:bookmarkEnd w:id="28"/>
    <w:bookmarkEnd w:id="29"/>
    <w:bookmarkStart w:id="38" w:name="emissions-calculation"/>
    <w:p>
      <w:pPr>
        <w:pStyle w:val="Heading2"/>
      </w:pPr>
      <w:r>
        <w:t xml:space="preserve">3. Emissions Calculation</w:t>
      </w:r>
    </w:p>
    <w:p>
      <w:pPr>
        <w:pStyle w:val="FirstParagraph"/>
      </w:pPr>
      <w:r>
        <w:t xml:space="preserve">Emissions are calculated by multiplying activity data by relevant emission factors (Activity * Emission Factor = CO2e). Industry-standard emission factors from sources like Ecoinvent and DEFRA are utilized where specific factors are not provided in the BOM. All emissions are categorized according to the GHG Protocol.</w:t>
      </w:r>
    </w:p>
    <w:bookmarkStart w:id="30" w:name="ghg-protocol-scopes-categorization"/>
    <w:p>
      <w:pPr>
        <w:pStyle w:val="Heading3"/>
      </w:pPr>
      <w:r>
        <w:t xml:space="preserve">3.1. GHG Protocol Scopes Categorization</w:t>
      </w:r>
    </w:p>
    <w:p>
      <w:pPr>
        <w:numPr>
          <w:ilvl w:val="0"/>
          <w:numId w:val="1006"/>
        </w:numPr>
        <w:pStyle w:val="Compact"/>
      </w:pPr>
      <w:r>
        <w:rPr>
          <w:bCs/>
          <w:b/>
        </w:rPr>
        <w:t xml:space="preserve">Scope 1 (Direct Emissions):</w:t>
      </w:r>
      <w:r>
        <w:t xml:space="preserve"> </w:t>
      </w:r>
      <w:r>
        <w:t xml:space="preserve">GHG emissions from sources owned or controlled by xwzgnwqhjd. For this product-level analysis, direct manufacturing emissions, if any, (e.g., from on-site fuel combustion not related to energy generation) would fall here. Given the \'factory_gate\' boundary, significant Scope 1 emissions from the product\'s direct manufacturing process are assumed to be minimal or integrated into broader factory-level reporting, but are conceptually acknowledged.</w:t>
      </w:r>
    </w:p>
    <w:p>
      <w:pPr>
        <w:numPr>
          <w:ilvl w:val="0"/>
          <w:numId w:val="1006"/>
        </w:numPr>
        <w:pStyle w:val="Compact"/>
      </w:pPr>
      <w:r>
        <w:rPr>
          <w:bCs/>
          <w:b/>
        </w:rPr>
        <w:t xml:space="preserve">Scope 2 (Indirect Emissions from Purchased Energy):</w:t>
      </w:r>
      <w:r>
        <w:t xml:space="preserve"> </w:t>
      </w:r>
      <w:r>
        <w:t xml:space="preserve">GHG emissions from the generation of purchased electricity consumed by xwzgnwqhjd\'s operations for manufacturing the product.</w:t>
      </w:r>
    </w:p>
    <w:p>
      <w:pPr>
        <w:numPr>
          <w:ilvl w:val="0"/>
          <w:numId w:val="1006"/>
        </w:numPr>
        <w:pStyle w:val="Compact"/>
      </w:pPr>
      <w:r>
        <w:rPr>
          <w:bCs/>
          <w:b/>
        </w:rPr>
        <w:t xml:space="preserve">Scope 3 (Other Indirect Emissions):</w:t>
      </w:r>
      <w:r>
        <w:t xml:space="preserve"> </w:t>
      </w:r>
      <w:r>
        <w:t xml:space="preserve">All other indirect GHG emissions that occur in xwzgnwqhjd\'s value chain, both upstream and downstream, not covered in Scope 1 or Scope 2. This includes emissions from purchased materials (BOM), transportation, the use phase of the product, and its end-of-life treatment.</w:t>
      </w:r>
    </w:p>
    <w:p>
      <w:pPr>
        <w:pStyle w:val="FirstParagraph"/>
      </w:pPr>
      <w:r>
        <w:rPr>
          <w:bCs/>
          <w:b/>
        </w:rPr>
        <w:t xml:space="preserve">2026 LSR Update:</w:t>
      </w:r>
      <w:r>
        <w:t xml:space="preserve"> </w:t>
      </w:r>
      <w:r>
        <w:t xml:space="preserve">The Land Sector and Removals (LSR) Standard, effective January 1, 2027, is recognized for its importance in quantifying, reporting, and tracking land emissions and CO₂ removals. While specific land-use data for the product\'s raw materials are not provided, the framework of the LSR Standard is acknowledged, especially for any potential biogenic carbon flows or land-use change impacts that would be accounted for in a more granular analysis of the raw material supply chain. This analysis operates under the conceptual inclusion of LSR principles for upstream agricultural or bio-based materials, should such detailed data become available.</w:t>
      </w:r>
    </w:p>
    <w:p>
      <w:pPr>
        <w:pStyle w:val="BodyText"/>
      </w:pPr>
      <w:r>
        <w:rPr>
          <w:bCs/>
          <w:b/>
        </w:rPr>
        <w:t xml:space="preserve">Scope 3 Compliance:</w:t>
      </w:r>
      <w:r>
        <w:t xml:space="preserve"> </w:t>
      </w:r>
      <w:r>
        <w:t xml:space="preserve">Efforts are made to ensure at least 95% coverage for Scope 3 reporting, as per 2026 requirements, by including comprehensive data points across the value chain from materials to end-of-life.</w:t>
      </w:r>
    </w:p>
    <w:bookmarkEnd w:id="30"/>
    <w:bookmarkStart w:id="36" w:name="X8f27ed27cfceed592de1323ac7da5b4511e9ce7"/>
    <w:p>
      <w:pPr>
        <w:pStyle w:val="Heading3"/>
      </w:pPr>
      <w:r>
        <w:t xml:space="preserve">3.2. Detailed Emissions Calculations (Illustrative Examples)</w:t>
      </w:r>
    </w:p>
    <w:p>
      <w:pPr>
        <w:pStyle w:val="FirstParagraph"/>
      </w:pPr>
      <w:r>
        <w:t xml:space="preserve">The following calculations use the provided placeholder values as illustrative examples and apply representative emission factors from industry-standard databases (e.g., Ecoinvent, DEFRA) for demonstration. Actual calculations would require precise numerical inputs for all parameters.</w:t>
      </w:r>
    </w:p>
    <w:bookmarkStart w:id="31" w:name="materials-acquisition-scope-3-upstream"/>
    <w:p>
      <w:pPr>
        <w:pStyle w:val="Heading4"/>
      </w:pPr>
      <w:r>
        <w:t xml:space="preserve">3.2.1. Materials Acquisition (Scope 3 Upstream)</w:t>
      </w:r>
    </w:p>
    <w:p>
      <w:pPr>
        <w:pStyle w:val="FirstParagraph"/>
      </w:pPr>
      <w:r>
        <w:t xml:space="preserve">Based on the provided BOM (`xhvthdil`):</w:t>
      </w:r>
    </w:p>
    <w:p>
      <w:pPr>
        <w:numPr>
          <w:ilvl w:val="0"/>
          <w:numId w:val="1007"/>
        </w:numPr>
        <w:pStyle w:val="Compact"/>
      </w:pPr>
      <w:r>
        <w:t xml:space="preserve">Plastic Casing: 1.25 kgCO2e</w:t>
      </w:r>
    </w:p>
    <w:p>
      <w:pPr>
        <w:numPr>
          <w:ilvl w:val="0"/>
          <w:numId w:val="1007"/>
        </w:numPr>
        <w:pStyle w:val="Compact"/>
      </w:pPr>
      <w:r>
        <w:t xml:space="preserve">Metal Connector: 0.3 kgCO2e</w:t>
      </w:r>
    </w:p>
    <w:p>
      <w:pPr>
        <w:numPr>
          <w:ilvl w:val="0"/>
          <w:numId w:val="1007"/>
        </w:numPr>
        <w:pStyle w:val="Compact"/>
      </w:pPr>
      <w:r>
        <w:t xml:space="preserve">Circuit Board: 10.0 kgCO2e</w:t>
      </w:r>
    </w:p>
    <w:p>
      <w:pPr>
        <w:numPr>
          <w:ilvl w:val="0"/>
          <w:numId w:val="1007"/>
        </w:numPr>
        <w:pStyle w:val="Compact"/>
      </w:pPr>
      <w:r>
        <w:t xml:space="preserve">Packaging: 0.15 kgCO2e</w:t>
      </w:r>
    </w:p>
    <w:p>
      <w:pPr>
        <w:pStyle w:val="FirstParagraph"/>
      </w:pPr>
      <w:r>
        <w:rPr>
          <w:bCs/>
          <w:b/>
        </w:rPr>
        <w:t xml:space="preserve">Total Material Acquisition Emissions: 11.7 kgCO2e</w:t>
      </w:r>
    </w:p>
    <w:bookmarkEnd w:id="31"/>
    <w:bookmarkStart w:id="32" w:name="production-phase-scope-2"/>
    <w:p>
      <w:pPr>
        <w:pStyle w:val="Heading4"/>
      </w:pPr>
      <w:r>
        <w:t xml:space="preserve">3.2.2. Production Phase (Scope 2)</w:t>
      </w:r>
    </w:p>
    <w:p>
      <w:pPr>
        <w:pStyle w:val="FirstParagraph"/>
      </w:pPr>
      <w:r>
        <w:t xml:space="preserve">Using provided energy customization data:</w:t>
      </w:r>
    </w:p>
    <w:p>
      <w:pPr>
        <w:numPr>
          <w:ilvl w:val="0"/>
          <w:numId w:val="1008"/>
        </w:numPr>
        <w:pStyle w:val="Compact"/>
      </w:pPr>
      <w:r>
        <w:t xml:space="preserve">Energy Intensity: 0.8 kWh/unit (mvdlfmluxk)</w:t>
      </w:r>
    </w:p>
    <w:p>
      <w:pPr>
        <w:numPr>
          <w:ilvl w:val="0"/>
          <w:numId w:val="1008"/>
        </w:numPr>
        <w:pStyle w:val="Compact"/>
      </w:pPr>
      <w:r>
        <w:t xml:space="preserve">Renewable Energy Usage: 60% (yxkirefpem)</w:t>
      </w:r>
    </w:p>
    <w:p>
      <w:pPr>
        <w:numPr>
          <w:ilvl w:val="0"/>
          <w:numId w:val="1008"/>
        </w:numPr>
        <w:pStyle w:val="Compact"/>
      </w:pPr>
      <w:r>
        <w:t xml:space="preserve">Non-renewable electricity share: 100% - 60% = 40%</w:t>
      </w:r>
    </w:p>
    <w:p>
      <w:pPr>
        <w:numPr>
          <w:ilvl w:val="0"/>
          <w:numId w:val="1008"/>
        </w:numPr>
        <w:pStyle w:val="Compact"/>
      </w:pPr>
      <w:r>
        <w:t xml:space="preserve">Assumed China Grid Electricity Emission Factor: 0.6205 kgCO2e/kWh (national average for 2023).</w:t>
      </w:r>
    </w:p>
    <w:p>
      <w:pPr>
        <w:pStyle w:val="FirstParagraph"/>
      </w:pPr>
      <w:r>
        <w:t xml:space="preserve">Production Emissions (Scope 2) = Energy Intensity (0.8 kWh/unit) * Non-renewable share (0.40) * China Grid EF (0.6205 kgCO2e/kWh)</w:t>
      </w:r>
      <w:r>
        <w:br/>
      </w:r>
      <w:r>
        <w:t xml:space="preserve">Production Emissions = 0.8 * 0.40 * 0.6205 = 0.19856 kgCO2e/unit</w:t>
      </w:r>
    </w:p>
    <w:p>
      <w:pPr>
        <w:pStyle w:val="BodyText"/>
      </w:pPr>
      <w:r>
        <w:rPr>
          <w:bCs/>
          <w:b/>
        </w:rPr>
        <w:t xml:space="preserve">Total Production Emissions (Scope 2): 0.19856 kgCO2e</w:t>
      </w:r>
    </w:p>
    <w:bookmarkEnd w:id="32"/>
    <w:bookmarkStart w:id="33" w:name="Xcf76037c7bdcdf1a55b7de1ac8ff291e079f5a7"/>
    <w:p>
      <w:pPr>
        <w:pStyle w:val="Heading4"/>
      </w:pPr>
      <w:r>
        <w:t xml:space="preserve">3.2.3. Transportation (Scope 3 Upstream &amp; Downstream)</w:t>
      </w:r>
    </w:p>
    <w:p>
      <w:pPr>
        <w:pStyle w:val="FirstParagraph"/>
      </w:pPr>
      <w:r>
        <w:t xml:space="preserve">Using provided logistics data:</w:t>
      </w:r>
    </w:p>
    <w:p>
      <w:pPr>
        <w:numPr>
          <w:ilvl w:val="0"/>
          <w:numId w:val="1009"/>
        </w:numPr>
        <w:pStyle w:val="Compact"/>
      </w:pPr>
      <w:r>
        <w:t xml:space="preserve">Transport Mode: Road Freight (Heavy Goods Vehicle) (Select Mode)</w:t>
      </w:r>
    </w:p>
    <w:p>
      <w:pPr>
        <w:numPr>
          <w:ilvl w:val="0"/>
          <w:numId w:val="1009"/>
        </w:numPr>
        <w:pStyle w:val="Compact"/>
      </w:pPr>
      <w:r>
        <w:t xml:space="preserve">Transport Distance: 1500 km (hnowifkpyf)</w:t>
      </w:r>
    </w:p>
    <w:p>
      <w:pPr>
        <w:numPr>
          <w:ilvl w:val="0"/>
          <w:numId w:val="1009"/>
        </w:numPr>
        <w:pStyle w:val="Compact"/>
      </w:pPr>
      <w:r>
        <w:t xml:space="preserve">Last-Mile Delivery: Courier Service (Delivery Type)</w:t>
      </w:r>
    </w:p>
    <w:p>
      <w:pPr>
        <w:numPr>
          <w:ilvl w:val="0"/>
          <w:numId w:val="1009"/>
        </w:numPr>
        <w:pStyle w:val="Compact"/>
      </w:pPr>
      <w:r>
        <w:t xml:space="preserve">Estimated Product Mass for Transport: ~0.72 kg (0.00072 tonnes)</w:t>
      </w:r>
    </w:p>
    <w:p>
      <w:pPr>
        <w:numPr>
          <w:ilvl w:val="0"/>
          <w:numId w:val="1009"/>
        </w:numPr>
        <w:pStyle w:val="Compact"/>
      </w:pPr>
      <w:r>
        <w:t xml:space="preserve">Assumed Emission Factor for Road Freight (Heavy Goods Vehicle, long-haul): 0.09 kgCO2e/tkm (representative Ecoinvent/DEFRA value).</w:t>
      </w:r>
    </w:p>
    <w:p>
      <w:pPr>
        <w:numPr>
          <w:ilvl w:val="0"/>
          <w:numId w:val="1009"/>
        </w:numPr>
        <w:pStyle w:val="Compact"/>
      </w:pPr>
      <w:r>
        <w:t xml:space="preserve">Assumed additional Last-Mile Delivery Emissions (e.g., 50 km by light commercial vehicle, higher intensity): 0.05 kgCO2e (illustrative value).</w:t>
      </w:r>
    </w:p>
    <w:p>
      <w:pPr>
        <w:pStyle w:val="FirstParagraph"/>
      </w:pPr>
      <w:r>
        <w:t xml:space="preserve">Main Transport Emissions (Scope 3) = Product Mass (0.00072 t) * Distance (1500 km) * EF (0.09 kgCO2e/tkm)</w:t>
      </w:r>
      <w:r>
        <w:br/>
      </w:r>
      <w:r>
        <w:t xml:space="preserve">Main Transport Emissions = 0.00072 * 1500 * 0.09 = 0.0972 kgCO2e</w:t>
      </w:r>
    </w:p>
    <w:p>
      <w:pPr>
        <w:pStyle w:val="BodyText"/>
      </w:pPr>
      <w:r>
        <w:t xml:space="preserve">Total Transportation Emissions = Main Transport Emissions + Last-Mile Delivery Emissions</w:t>
      </w:r>
      <w:r>
        <w:br/>
      </w:r>
      <w:r>
        <w:t xml:space="preserve">Total Transportation Emissions = 0.0972 + 0.05 = 0.1472 kgCO2e</w:t>
      </w:r>
    </w:p>
    <w:p>
      <w:pPr>
        <w:pStyle w:val="BodyText"/>
      </w:pPr>
      <w:r>
        <w:rPr>
          <w:bCs/>
          <w:b/>
        </w:rPr>
        <w:t xml:space="preserve">Total Transportation Emissions (Scope 3): 0.1472 kgCO2e</w:t>
      </w:r>
    </w:p>
    <w:bookmarkEnd w:id="33"/>
    <w:bookmarkStart w:id="34" w:name="use-phase-scope-3-downstream-1"/>
    <w:p>
      <w:pPr>
        <w:pStyle w:val="Heading4"/>
      </w:pPr>
      <w:r>
        <w:t xml:space="preserve">3.2.4. Use Phase (Scope 3 Downstream)</w:t>
      </w:r>
    </w:p>
    <w:p>
      <w:pPr>
        <w:pStyle w:val="FirstParagraph"/>
      </w:pPr>
      <w:r>
        <w:t xml:space="preserve">Using provided durability and consumption data:</w:t>
      </w:r>
    </w:p>
    <w:p>
      <w:pPr>
        <w:numPr>
          <w:ilvl w:val="0"/>
          <w:numId w:val="1010"/>
        </w:numPr>
        <w:pStyle w:val="Compact"/>
      </w:pPr>
      <w:r>
        <w:t xml:space="preserve">Product Lifespan: 5 years (qwmnnyjdql)</w:t>
      </w:r>
    </w:p>
    <w:p>
      <w:pPr>
        <w:numPr>
          <w:ilvl w:val="0"/>
          <w:numId w:val="1010"/>
        </w:numPr>
        <w:pStyle w:val="Compact"/>
      </w:pPr>
      <w:r>
        <w:t xml:space="preserve">Energy Consumption in Use: 10 kWh/year (mgmfjoweyv)</w:t>
      </w:r>
    </w:p>
    <w:p>
      <w:pPr>
        <w:numPr>
          <w:ilvl w:val="0"/>
          <w:numId w:val="1010"/>
        </w:numPr>
        <w:pStyle w:val="Compact"/>
      </w:pPr>
      <w:r>
        <w:t xml:space="preserve">Assumed Electricity Emission Factor (China Grid, illustrative as per scope definition): 0.6205 kgCO2e/kWh.</w:t>
      </w:r>
    </w:p>
    <w:p>
      <w:pPr>
        <w:pStyle w:val="FirstParagraph"/>
      </w:pPr>
      <w:r>
        <w:t xml:space="preserve">Use Phase Emissions (Scope 3) = Energy Consumption in Use (10 kWh/year) * Product Lifespan (5 years) * Electricity EF (0.6205 kgCO2e/kWh)</w:t>
      </w:r>
      <w:r>
        <w:br/>
      </w:r>
      <w:r>
        <w:t xml:space="preserve">Use Phase Emissions = 10 * 5 * 0.6205 = 31.025 kgCO2e</w:t>
      </w:r>
    </w:p>
    <w:p>
      <w:pPr>
        <w:pStyle w:val="BodyText"/>
      </w:pPr>
      <w:r>
        <w:rPr>
          <w:bCs/>
          <w:b/>
        </w:rPr>
        <w:t xml:space="preserve">Total Use Phase Emissions (Scope 3): 31.025 kgCO2e</w:t>
      </w:r>
    </w:p>
    <w:bookmarkEnd w:id="34"/>
    <w:bookmarkStart w:id="35" w:name="X9ec538f249ff7b5661beb622b7d38d12f7c52ab"/>
    <w:p>
      <w:pPr>
        <w:pStyle w:val="Heading4"/>
      </w:pPr>
      <w:r>
        <w:t xml:space="preserve">3.2.5. End-of-Life (EoL) Scenarios (Scope 3 Downstream)</w:t>
      </w:r>
    </w:p>
    <w:p>
      <w:pPr>
        <w:pStyle w:val="FirstParagraph"/>
      </w:pPr>
      <w:r>
        <w:t xml:space="preserve">Using provided EoL data:</w:t>
      </w:r>
    </w:p>
    <w:p>
      <w:pPr>
        <w:numPr>
          <w:ilvl w:val="0"/>
          <w:numId w:val="1011"/>
        </w:numPr>
        <w:pStyle w:val="Compact"/>
      </w:pPr>
      <w:r>
        <w:t xml:space="preserve">Recyclability Percentage: 70% (ylggfvfpyp)</w:t>
      </w:r>
    </w:p>
    <w:p>
      <w:pPr>
        <w:numPr>
          <w:ilvl w:val="0"/>
          <w:numId w:val="1011"/>
        </w:numPr>
        <w:pStyle w:val="Compact"/>
      </w:pPr>
      <w:r>
        <w:t xml:space="preserve">Circular/Take-back Programs: Yes (zdxirlsuqm)</w:t>
      </w:r>
    </w:p>
    <w:p>
      <w:pPr>
        <w:numPr>
          <w:ilvl w:val="0"/>
          <w:numId w:val="1011"/>
        </w:numPr>
        <w:pStyle w:val="Compact"/>
      </w:pPr>
      <w:r>
        <w:t xml:space="preserve">Total Material Carbon (from BOM): 11.7 kgCO2e</w:t>
      </w:r>
    </w:p>
    <w:p>
      <w:pPr>
        <w:numPr>
          <w:ilvl w:val="0"/>
          <w:numId w:val="1011"/>
        </w:numPr>
        <w:pStyle w:val="Compact"/>
      </w:pPr>
      <w:r>
        <w:t xml:space="preserve">Assumed Recycling Avoided Burden Factor: 0.6 (This means recycling avoids 60% of the virgin material emissions for the recycled portion).</w:t>
      </w:r>
    </w:p>
    <w:p>
      <w:pPr>
        <w:numPr>
          <w:ilvl w:val="0"/>
          <w:numId w:val="1011"/>
        </w:numPr>
        <w:pStyle w:val="Compact"/>
      </w:pPr>
      <w:r>
        <w:t xml:space="preserve">Assumed Disposal Emission Factor for non-recycled waste: 0.1 kgCO2e/kg (illustrative for mixed waste to landfill).</w:t>
      </w:r>
    </w:p>
    <w:p>
      <w:pPr>
        <w:numPr>
          <w:ilvl w:val="0"/>
          <w:numId w:val="1011"/>
        </w:numPr>
        <w:pStyle w:val="Compact"/>
      </w:pPr>
      <w:r>
        <w:t xml:space="preserve">Total product mass (for disposal calculation): ~0.72 kg</w:t>
      </w:r>
    </w:p>
    <w:p>
      <w:pPr>
        <w:pStyle w:val="FirstParagraph"/>
      </w:pPr>
      <w:r>
        <w:t xml:space="preserve">Non-recycled portion emissions = (1 - Recyclability %) * Total Product Mass * Disposal EF</w:t>
      </w:r>
      <w:r>
        <w:br/>
      </w:r>
      <w:r>
        <w:t xml:space="preserve">Non-recycled portion emissions = (1 - 0.70) * 0.72 kg * 0.1 kgCO2e/kg = 0.3 * 0.72 * 0.1 = 0.0216 kgCO2e</w:t>
      </w:r>
    </w:p>
    <w:p>
      <w:pPr>
        <w:pStyle w:val="BodyText"/>
      </w:pPr>
      <w:r>
        <w:t xml:space="preserve">Recycling Credit = Recyclability % * Total Material Carbon (from BOM) * Avoided Burden Factor</w:t>
      </w:r>
      <w:r>
        <w:br/>
      </w:r>
      <w:r>
        <w:t xml:space="preserve">Recycling Credit = 0.70 * 11.7 kgCO2e * 0.6 = -4.914 kgCO2e (negative as it\'s a saving/credit)</w:t>
      </w:r>
    </w:p>
    <w:p>
      <w:pPr>
        <w:pStyle w:val="BodyText"/>
      </w:pPr>
      <w:r>
        <w:t xml:space="preserve">Total EoL Emissions = Non-recycled portion emissions + Recycling Credit</w:t>
      </w:r>
      <w:r>
        <w:br/>
      </w:r>
      <w:r>
        <w:t xml:space="preserve">Total EoL Emissions = 0.0216 - 4.914 = -4.8924 kgCO2e</w:t>
      </w:r>
    </w:p>
    <w:p>
      <w:pPr>
        <w:pStyle w:val="BodyText"/>
      </w:pPr>
      <w:r>
        <w:t xml:space="preserve">The presence of a take-back program reinforces the effective capture and processing for recycling, supporting this avoided burden.</w:t>
      </w:r>
    </w:p>
    <w:p>
      <w:pPr>
        <w:pStyle w:val="BodyText"/>
      </w:pPr>
      <w:r>
        <w:rPr>
          <w:bCs/>
          <w:b/>
        </w:rPr>
        <w:t xml:space="preserve">Total End-of-Life Emissions (Scope 3): -4.8924 kgCO2e (Net Carbon Saving)</w:t>
      </w:r>
    </w:p>
    <w:bookmarkEnd w:id="35"/>
    <w:bookmarkEnd w:id="36"/>
    <w:bookmarkStart w:id="37" w:name="summary-of-product-carbon-footprint"/>
    <w:p>
      <w:pPr>
        <w:pStyle w:val="Heading3"/>
      </w:pPr>
      <w:r>
        <w:t xml:space="preserve">3.3. Summary of Product Carbon Footprint</w:t>
      </w:r>
    </w:p>
    <w:p>
      <w:pPr>
        <w:pStyle w:val="FirstParagraph"/>
      </w:pPr>
      <w:r>
        <w:t xml:space="preserve">The total PCF for one functional unit of uorqgioguy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11.7000</w:t>
            </w:r>
          </w:p>
        </w:tc>
      </w:tr>
      <w:tr>
        <w:tc>
          <w:tcPr/>
          <w:p>
            <w:pPr>
              <w:pStyle w:val="Compact"/>
              <w:jc w:val="left"/>
            </w:pPr>
            <w:r>
              <w:t xml:space="preserve">Production/Manufacturing</w:t>
            </w:r>
          </w:p>
        </w:tc>
        <w:tc>
          <w:tcPr/>
          <w:p>
            <w:pPr>
              <w:pStyle w:val="Compact"/>
              <w:jc w:val="left"/>
            </w:pPr>
            <w:r>
              <w:t xml:space="preserve">Scope 2</w:t>
            </w:r>
          </w:p>
        </w:tc>
        <w:tc>
          <w:tcPr/>
          <w:p>
            <w:pPr>
              <w:pStyle w:val="Compact"/>
              <w:jc w:val="left"/>
            </w:pPr>
            <w:r>
              <w:t xml:space="preserve">0.1986</w:t>
            </w:r>
          </w:p>
        </w:tc>
      </w:tr>
      <w:tr>
        <w:tc>
          <w:tcPr/>
          <w:p>
            <w:pPr>
              <w:pStyle w:val="Compact"/>
              <w:jc w:val="left"/>
            </w:pPr>
            <w:r>
              <w:t xml:space="preserve">Transportation (Logistics)</w:t>
            </w:r>
          </w:p>
        </w:tc>
        <w:tc>
          <w:tcPr/>
          <w:p>
            <w:pPr>
              <w:pStyle w:val="Compact"/>
              <w:jc w:val="left"/>
            </w:pPr>
            <w:r>
              <w:t xml:space="preserve">Scope 3 Upstream/Downstream</w:t>
            </w:r>
          </w:p>
        </w:tc>
        <w:tc>
          <w:tcPr/>
          <w:p>
            <w:pPr>
              <w:pStyle w:val="Compact"/>
              <w:jc w:val="left"/>
            </w:pPr>
            <w:r>
              <w:t xml:space="preserve">0.1472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31.0250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-4.8924</w:t>
            </w:r>
          </w:p>
        </w:tc>
      </w:tr>
    </w:tbl>
    <w:p>
      <w:pPr>
        <w:pStyle w:val="BodyText"/>
      </w:pPr>
      <w:r>
        <w:rPr>
          <w:bCs/>
          <w:b/>
        </w:rPr>
        <w:t xml:space="preserve">Total Product Carbon Footprint = 11.7000 + 0.1986 + 0.1472 + 31.0250 - 4.8924 = 38.1784 kgCO2e/unit</w:t>
      </w:r>
    </w:p>
    <w:p>
      <w:r>
        <w:pict>
          <v:rect style="width:0;height:1.5pt" o:hralign="center" o:hrstd="t" o:hr="t"/>
        </w:pict>
      </w:r>
    </w:p>
    <w:bookmarkEnd w:id="37"/>
    <w:bookmarkEnd w:id="38"/>
    <w:bookmarkStart w:id="42" w:name="review-reporting"/>
    <w:p>
      <w:pPr>
        <w:pStyle w:val="Heading2"/>
      </w:pPr>
      <w:r>
        <w:t xml:space="preserve">4. Review &amp; Reporting</w:t>
      </w:r>
    </w:p>
    <w:bookmarkStart w:id="39" w:name="hotspots-identification"/>
    <w:p>
      <w:pPr>
        <w:pStyle w:val="Heading3"/>
      </w:pPr>
      <w:r>
        <w:t xml:space="preserve">4.1. Hotspots Identification</w:t>
      </w:r>
    </w:p>
    <w:p>
      <w:pPr>
        <w:pStyle w:val="FirstParagraph"/>
      </w:pPr>
      <w:r>
        <w:t xml:space="preserve">The PCF analysis reveals the following major hotspots in the lifecycle of uorqgioguy:</w:t>
      </w:r>
    </w:p>
    <w:p>
      <w:pPr>
        <w:numPr>
          <w:ilvl w:val="0"/>
          <w:numId w:val="1012"/>
        </w:numPr>
        <w:pStyle w:val="Compact"/>
      </w:pPr>
      <w:r>
        <w:rPr>
          <w:bCs/>
          <w:b/>
        </w:rPr>
        <w:t xml:space="preserve">Use Phase:</w:t>
      </w:r>
      <w:r>
        <w:t xml:space="preserve"> </w:t>
      </w:r>
      <w:r>
        <w:t xml:space="preserve">This phase accounts for the largest portion of the total footprint (approx. 81%), primarily due to energy consumption over the product\'s lifespan. This highlights the critical importance of energy efficiency during product operation.</w:t>
      </w:r>
    </w:p>
    <w:p>
      <w:pPr>
        <w:numPr>
          <w:ilvl w:val="0"/>
          <w:numId w:val="1012"/>
        </w:numPr>
        <w:pStyle w:val="Compact"/>
      </w:pPr>
      <w:r>
        <w:rPr>
          <w:bCs/>
          <w:b/>
        </w:rPr>
        <w:t xml:space="preserve">Materials Acquisition:</w:t>
      </w:r>
      <w:r>
        <w:t xml:space="preserve"> </w:t>
      </w:r>
      <w:r>
        <w:t xml:space="preserve">The upstream emissions from raw material extraction and processing contribute significantly (approx. 31% before EoL credit), with the Circuit Board being a dominant factor as indicated by its high \'Total Carbon\' value in the BOM.</w:t>
      </w:r>
    </w:p>
    <w:p>
      <w:pPr>
        <w:numPr>
          <w:ilvl w:val="0"/>
          <w:numId w:val="1012"/>
        </w:numPr>
        <w:pStyle w:val="Compact"/>
      </w:pPr>
      <w:r>
        <w:rPr>
          <w:bCs/>
          <w:b/>
        </w:rPr>
        <w:t xml:space="preserve">End-of-Life:</w:t>
      </w:r>
      <w:r>
        <w:t xml:space="preserve"> </w:t>
      </w:r>
      <w:r>
        <w:t xml:space="preserve">With a high recyclability percentage and circular programs, the EoL phase provides a significant net carbon saving, demonstrating the positive impact of circular economy initiatives.</w:t>
      </w:r>
    </w:p>
    <w:bookmarkEnd w:id="39"/>
    <w:bookmarkStart w:id="40" w:name="reliability-statement"/>
    <w:p>
      <w:pPr>
        <w:pStyle w:val="Heading3"/>
      </w:pPr>
      <w:r>
        <w:t xml:space="preserve">4.2. Reliability Statement</w:t>
      </w:r>
    </w:p>
    <w:p>
      <w:pPr>
        <w:pStyle w:val="FirstParagraph"/>
      </w:pPr>
      <w:r>
        <w:t xml:space="preserve">The reliability of this PCF report is directly linked to the accuracy and representativeness of the input data and chosen emission factors. While specific parameters provided by xwzgnwqhjd have been incorporated, and industry-standard emission factors (e.g., from Ecoinvent/DEFRA) have been utilized, certain assumptions were necessary for placeholder values and where highly specific data was unavailable.</w:t>
      </w:r>
    </w:p>
    <w:p>
      <w:pPr>
        <w:pStyle w:val="BodyText"/>
      </w:pPr>
      <w:r>
        <w:t xml:space="preserve">The calculation methodology strictly adheres to the GHG Protocol Product Standard, ensuring transparency and comparability. Continuous efforts to gather primary data for all lifecycle stages and to refine emission factors will further enhance the accuracy of future assessments.</w:t>
      </w:r>
    </w:p>
    <w:bookmarkEnd w:id="40"/>
    <w:bookmarkStart w:id="41" w:name="recommendations-for-emission-reduction"/>
    <w:p>
      <w:pPr>
        <w:pStyle w:val="Heading3"/>
      </w:pPr>
      <w:r>
        <w:t xml:space="preserve">4.3. Recommendations for Emission Reduction</w:t>
      </w:r>
    </w:p>
    <w:p>
      <w:pPr>
        <w:numPr>
          <w:ilvl w:val="0"/>
          <w:numId w:val="1013"/>
        </w:numPr>
        <w:pStyle w:val="Compact"/>
      </w:pPr>
      <w:r>
        <w:rPr>
          <w:bCs/>
          <w:b/>
        </w:rPr>
        <w:t xml:space="preserve">Optimize Use Phase Energy Efficiency:</w:t>
      </w:r>
      <w:r>
        <w:t xml:space="preserve"> </w:t>
      </w:r>
      <w:r>
        <w:t xml:space="preserve">Focus on designing uorqgioguy for lower energy consumption during its operational lifespan. This could involve using more energy-efficient components, smart power management features, or encouraging the use of renewable energy sources by end-users.</w:t>
      </w:r>
    </w:p>
    <w:p>
      <w:pPr>
        <w:numPr>
          <w:ilvl w:val="0"/>
          <w:numId w:val="1013"/>
        </w:numPr>
        <w:pStyle w:val="Compact"/>
      </w:pPr>
      <w:r>
        <w:rPr>
          <w:bCs/>
          <w:b/>
        </w:rPr>
        <w:t xml:space="preserve">Sustainable Material Sourcing:</w:t>
      </w:r>
      <w:r>
        <w:t xml:space="preserve"> </w:t>
      </w:r>
      <w:r>
        <w:t xml:space="preserve">Investigate opportunities to reduce the carbon footprint of high-impact materials, particularly the Circuit Board. This could include sourcing materials with lower embedded emissions, increasing the recycled content in components, or exploring alternative, lower-carbon materials.</w:t>
      </w:r>
    </w:p>
    <w:p>
      <w:pPr>
        <w:numPr>
          <w:ilvl w:val="0"/>
          <w:numId w:val="1013"/>
        </w:numPr>
        <w:pStyle w:val="Compact"/>
      </w:pPr>
      <w:r>
        <w:rPr>
          <w:bCs/>
          <w:b/>
        </w:rPr>
        <w:t xml:space="preserve">Enhance Circularity:</w:t>
      </w:r>
      <w:r>
        <w:t xml:space="preserve"> </w:t>
      </w:r>
      <w:r>
        <w:t xml:space="preserve">Leverage the existing take-back programs and explore further avenues to maximize the recyclability and reuse of product components. This could involve design for disassembly, modularity, and partnerships for advanced recycling technologies.</w:t>
      </w:r>
    </w:p>
    <w:p>
      <w:pPr>
        <w:numPr>
          <w:ilvl w:val="0"/>
          <w:numId w:val="1013"/>
        </w:numPr>
        <w:pStyle w:val="Compact"/>
      </w:pPr>
      <w:r>
        <w:rPr>
          <w:bCs/>
          <w:b/>
        </w:rPr>
        <w:t xml:space="preserve">Supply Chain Engagement:</w:t>
      </w:r>
      <w:r>
        <w:t xml:space="preserve"> </w:t>
      </w:r>
      <w:r>
        <w:t xml:space="preserve">Collaborate with upstream suppliers to identify and reduce emissions associated with material production and transportation.</w:t>
      </w:r>
    </w:p>
    <w:p>
      <w:pPr>
        <w:numPr>
          <w:ilvl w:val="0"/>
          <w:numId w:val="1013"/>
        </w:numPr>
        <w:pStyle w:val="Compact"/>
      </w:pPr>
      <w:r>
        <w:rPr>
          <w:bCs/>
          <w:b/>
        </w:rPr>
        <w:t xml:space="preserve">Data Improvement:</w:t>
      </w:r>
      <w:r>
        <w:t xml:space="preserve"> </w:t>
      </w:r>
      <w:r>
        <w:t xml:space="preserve">Prioritize collecting primary data for all lifecycle stages, especially for supplier-specific emission factors and actual energy consumption profiles in both production and use phases.</w:t>
      </w:r>
    </w:p>
    <w:p>
      <w:r>
        <w:pict>
          <v:rect style="width:0;height:1.5pt" o:hralign="center" o:hrstd="t" o:hr="t"/>
        </w:pict>
      </w:r>
    </w:p>
    <w:bookmarkEnd w:id="41"/>
    <w:bookmarkEnd w:id="42"/>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uorqgioguy</dc:title>
  <dc:creator/>
  <dc:description>High-detail Product Carbon Footprint (PCF) analysis report for uorqgioguy by nikxdnlepx, Senior Sustainability Consultant, adhering to GHG Protocol and 2026 LSR Update for company xwzgnwqhjd.</dc:description>
  <dc:language>en</dc:language>
  <cp:keywords/>
  <dcterms:created xsi:type="dcterms:W3CDTF">2026-05-30T18:33:13Z</dcterms:created>
  <dcterms:modified xsi:type="dcterms:W3CDTF">2026-05-30T18:33:13Z</dcterms:modified>
</cp:coreProperties>
</file>

<file path=docProps/custom.xml><?xml version="1.0" encoding="utf-8"?>
<Properties xmlns="http://schemas.openxmlformats.org/officeDocument/2006/custom-properties" xmlns:vt="http://schemas.openxmlformats.org/officeDocument/2006/docPropsVTypes"/>
</file>