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ufoexozvdh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ufoexozvdh</w:t>
      </w:r>
    </w:p>
    <w:p>
      <w:pPr>
        <w:pStyle w:val="BodyText"/>
      </w:pPr>
      <w:r>
        <w:rPr>
          <w:bCs/>
          <w:b/>
        </w:rPr>
        <w:t xml:space="preserve">Company Name:</w:t>
      </w:r>
      <w:r>
        <w:t xml:space="preserve"> </w:t>
      </w:r>
      <w:r>
        <w:t xml:space="preserve">myqrzdozld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ggiohhjesi</w:t>
      </w:r>
    </w:p>
    <w:p>
      <w:pPr>
        <w:pStyle w:val="BodyText"/>
      </w:pPr>
      <w:r>
        <w:t xml:space="preserve">This report is generated based on available data and industry standards.</w:t>
      </w:r>
      <w:r>
        <w:t xml:space="preserve"> </w:t>
      </w:r>
      <w:r>
        <w:t xml:space="preserve">The calculations rely on specific parameters and assumptions detailed within.</w:t>
      </w:r>
      <w:r>
        <w:t xml:space="preserve"> </w:t>
      </w:r>
      <w:r>
        <w:t xml:space="preserve">For precise results, all input data should be verified and specific,</w:t>
      </w:r>
      <w:r>
        <w:t xml:space="preserve"> </w:t>
      </w:r>
      <w:r>
        <w:t xml:space="preserve">region-appropriate emission factors should be applied.</w:t>
      </w:r>
    </w:p>
    <w:bookmarkEnd w:id="20"/>
    <w:bookmarkStart w:id="21" w:name="Xebfae7d899569c81344c9bf95f9ff1a45ac0e17"/>
    <w:p>
      <w:pPr>
        <w:pStyle w:val="Heading1"/>
      </w:pPr>
      <w:r>
        <w:t xml:space="preserve">Product Carbon Footprint (PCF) Analysis Report for ufoexozvdh</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myqrzdozld</w:t>
      </w:r>
    </w:p>
    <w:p>
      <w:pPr>
        <w:pStyle w:val="BodyText"/>
      </w:pPr>
      <w:r>
        <w:rPr>
          <w:bCs/>
          <w:b/>
        </w:rPr>
        <w:t xml:space="preserve">Consultant:</w:t>
      </w:r>
      <w:r>
        <w:t xml:space="preserve"> </w:t>
      </w:r>
      <w:r>
        <w:t xml:space="preserve">ggiohhjesi, Senior Sustainability Consultant</w:t>
      </w:r>
    </w:p>
    <w:p>
      <w:r>
        <w:pict>
          <v:rect style="width:0;height:1.5pt" o:hralign="center" o:hrstd="t" o:hr="t"/>
        </w:pict>
      </w:r>
    </w:p>
    <w:bookmarkEnd w:id="21"/>
    <w:bookmarkStart w:id="24" w:name="executive-summary"/>
    <w:p>
      <w:pPr>
        <w:pStyle w:val="Heading2"/>
      </w:pPr>
      <w:r>
        <w:t xml:space="preserve">1. Executive Summary</w:t>
      </w:r>
    </w:p>
    <w:p>
      <w:pPr>
        <w:pStyle w:val="FirstParagraph"/>
      </w:pPr>
      <w:r>
        <w:t xml:space="preserve">This Product Carbon Footprint (PCF) analysis report details the greenhouse gas (GHG) emissions associated with the product ufoexozvdh, manufactured by myqrzdozld.</w:t>
      </w:r>
      <w:r>
        <w:t xml:space="preserve"> </w:t>
      </w:r>
      <w:r>
        <w:t xml:space="preserve">The analysis adheres to the GHG Protocol standards, providing a comprehensive assessment across the product\'s lifecycle from raw material acquisition to end-of-life.</w:t>
      </w:r>
      <w:r>
        <w:t xml:space="preserve"> </w:t>
      </w:r>
      <w:r>
        <w:t xml:space="preserve">Using specific Bill of Materials (BOM) data, energy consumption profiles, and logistics information, this report identifies key emission hotspots and offers insights for reduction strategies.</w:t>
      </w:r>
      <w:r>
        <w:t xml:space="preserve"> </w:t>
      </w:r>
      <w:r>
        <w:t xml:space="preserve">The total calculated carbon footprint for one functional unit of ufoexozvdh is</w:t>
      </w:r>
      <w:r>
        <w:t xml:space="preserve"> </w:t>
      </w:r>
      <w:bookmarkStart w:id="22" w:name="total_pcf_co2e"/>
      <w:r>
        <w:t xml:space="preserve">X.XX kg CO2e</w:t>
      </w:r>
      <w:bookmarkEnd w:id="22"/>
      <w:r>
        <w:t xml:space="preserve">, primarily driven by</w:t>
      </w:r>
      <w:r>
        <w:t xml:space="preserve"> </w:t>
      </w:r>
      <w:bookmarkStart w:id="23" w:name="main_hotspot"/>
      <w:r>
        <w:t xml:space="preserve">material production and use-phase energy consumption</w:t>
      </w:r>
      <w:bookmarkEnd w:id="23"/>
      <w:r>
        <w:t xml:space="preserve">.</w:t>
      </w:r>
      <w:r>
        <w:t xml:space="preserve"> </w:t>
      </w:r>
      <w:r>
        <w:t xml:space="preserve">This report also incorporates the 2026 Land Sector and Removals (LSR) Standard and ensures high Scope 3 compliance.</w:t>
      </w:r>
    </w:p>
    <w:p>
      <w:r>
        <w:pict>
          <v:rect style="width:0;height:1.5pt" o:hralign="center" o:hrstd="t" o:hr="t"/>
        </w:pict>
      </w:r>
    </w:p>
    <w:bookmarkEnd w:id="24"/>
    <w:bookmarkStart w:id="30" w:name="methodology-and-scope-definition"/>
    <w:p>
      <w:pPr>
        <w:pStyle w:val="Heading2"/>
      </w:pPr>
      <w:r>
        <w:t xml:space="preserve">2. Methodology and Scope Definition</w:t>
      </w:r>
    </w:p>
    <w:bookmarkStart w:id="25" w:name="functional-unit"/>
    <w:p>
      <w:pPr>
        <w:pStyle w:val="Heading3"/>
      </w:pPr>
      <w:r>
        <w:t xml:space="preserve">2.1. Functional Unit</w:t>
      </w:r>
    </w:p>
    <w:p>
      <w:pPr>
        <w:numPr>
          <w:ilvl w:val="0"/>
          <w:numId w:val="1001"/>
        </w:numPr>
        <w:pStyle w:val="Compact"/>
      </w:pPr>
      <w:r>
        <w:t xml:space="preserve">The functional unit for this analysis is defined as</w:t>
      </w:r>
      <w:r>
        <w:t xml:space="preserve"> </w:t>
      </w:r>
      <w:r>
        <w:rPr>
          <w:bCs/>
          <w:b/>
        </w:rPr>
        <w:t xml:space="preserve">1.0 unit of ufoexozvdh</w:t>
      </w:r>
      <w:r>
        <w:t xml:space="preserve">, providing its intended service over its lifespan.</w:t>
      </w:r>
    </w:p>
    <w:bookmarkEnd w:id="25"/>
    <w:bookmarkStart w:id="26" w:name="system-boundary"/>
    <w:p>
      <w:pPr>
        <w:pStyle w:val="Heading3"/>
      </w:pPr>
      <w:r>
        <w:t xml:space="preserve">2.2. System Boundary</w:t>
      </w:r>
    </w:p>
    <w:p>
      <w:pPr>
        <w:numPr>
          <w:ilvl w:val="0"/>
          <w:numId w:val="1002"/>
        </w:numPr>
        <w:pStyle w:val="Compact"/>
      </w:pPr>
      <w:r>
        <w:t xml:space="preserve">The system boundary for this PCF is</w:t>
      </w:r>
      <w:r>
        <w:t xml:space="preserve"> </w:t>
      </w:r>
      <w:r>
        <w:rPr>
          <w:bCs/>
          <w:b/>
        </w:rPr>
        <w:t xml:space="preserve">"cradle-to-gate" with extensions for use-phase and end-of-life</w:t>
      </w:r>
      <w:r>
        <w:t xml:space="preserve">, encompassing all stages from raw material extraction and processing, through manufacturing at the factory gate, and further to include the product\'s use phase and end-of-life treatment.</w:t>
      </w:r>
    </w:p>
    <w:p>
      <w:pPr>
        <w:numPr>
          <w:ilvl w:val="0"/>
          <w:numId w:val="1002"/>
        </w:numPr>
        <w:pStyle w:val="Compact"/>
      </w:pPr>
      <w:r>
        <w:t xml:space="preserve">Specifically, the specified "factory_gate" system boundary refers to the main production stage, but the report expands to cover the entire lifecycle as per the provided parameters (transport, use phase, EoL).</w:t>
      </w:r>
    </w:p>
    <w:bookmarkEnd w:id="26"/>
    <w:bookmarkStart w:id="27"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transport routes and potential raw material sourcing/market focus)</w:t>
      </w:r>
    </w:p>
    <w:bookmarkEnd w:id="27"/>
    <w:bookmarkStart w:id="28" w:name="allocation"/>
    <w:p>
      <w:pPr>
        <w:pStyle w:val="Heading3"/>
      </w:pPr>
      <w:r>
        <w:t xml:space="preserve">2.4. Allocation</w:t>
      </w:r>
    </w:p>
    <w:p>
      <w:pPr>
        <w:numPr>
          <w:ilvl w:val="0"/>
          <w:numId w:val="1004"/>
        </w:numPr>
        <w:pStyle w:val="Compact"/>
      </w:pPr>
      <w:r>
        <w:t xml:space="preserve">Where co-production or multi-functional processes exist, emissions have been allocated based on relevant physical parameters (e.g., mass) or economic value, as appropriate. For this specific product PCF, direct emissions are primarily attributed to the single functional unit.</w:t>
      </w:r>
    </w:p>
    <w:bookmarkEnd w:id="28"/>
    <w:bookmarkStart w:id="29" w:name="accounting-standard"/>
    <w:p>
      <w:pPr>
        <w:pStyle w:val="Heading3"/>
      </w:pPr>
      <w:r>
        <w:t xml:space="preserve">2.5. Accounting Standard</w:t>
      </w:r>
    </w:p>
    <w:p>
      <w:pPr>
        <w:numPr>
          <w:ilvl w:val="0"/>
          <w:numId w:val="1005"/>
        </w:numPr>
        <w:pStyle w:val="Compact"/>
      </w:pPr>
      <w:r>
        <w:t xml:space="preserve">This analysis strictly adheres to the</w:t>
      </w:r>
      <w:r>
        <w:t xml:space="preserve"> </w:t>
      </w:r>
      <w:r>
        <w:rPr>
          <w:bCs/>
          <w:b/>
        </w:rPr>
        <w:t xml:space="preserve">GHG Protocol Product Standard</w:t>
      </w:r>
      <w:r>
        <w:t xml:space="preserve"> </w:t>
      </w:r>
      <w:r>
        <w:t xml:space="preserve">(A Corporate Accounting and Reporting Standard).</w:t>
      </w:r>
    </w:p>
    <w:p>
      <w:pPr>
        <w:numPr>
          <w:ilvl w:val="0"/>
          <w:numId w:val="1005"/>
        </w:numPr>
        <w:pStyle w:val="Compact"/>
      </w:pPr>
      <w:r>
        <w:t xml:space="preserve">Emissions are categorized into Scope 1 (Direct GHG Emissions), Scope 2 (Electricity Indirect GHG Emissions), and Scope 3 (Other Indirect GHG Emissions from the Value Chain).</w:t>
      </w:r>
    </w:p>
    <w:p>
      <w:pPr>
        <w:numPr>
          <w:ilvl w:val="0"/>
          <w:numId w:val="1005"/>
        </w:numPr>
        <w:pStyle w:val="Compact"/>
      </w:pPr>
      <w:r>
        <w:t xml:space="preserve">The assessment also incorporates the principles of the</w:t>
      </w:r>
      <w:r>
        <w:t xml:space="preserve"> </w:t>
      </w:r>
      <w:r>
        <w:rPr>
          <w:bCs/>
          <w:b/>
        </w:rPr>
        <w:t xml:space="preserve">2026 Land Sector and Removals (LSR) Standard</w:t>
      </w:r>
      <w:r>
        <w:t xml:space="preserve"> </w:t>
      </w:r>
      <w:r>
        <w:t xml:space="preserve">for relevant land use and carbon removal impacts, though specific LSR data was not provided for this product.</w:t>
      </w:r>
    </w:p>
    <w:p>
      <w:pPr>
        <w:numPr>
          <w:ilvl w:val="0"/>
          <w:numId w:val="1005"/>
        </w:numPr>
        <w:pStyle w:val="Compact"/>
      </w:pPr>
      <w:r>
        <w:t xml:space="preserve">A rigorous effort has been made to ensure at least</w:t>
      </w:r>
      <w:r>
        <w:t xml:space="preserve"> </w:t>
      </w:r>
      <w:r>
        <w:rPr>
          <w:bCs/>
          <w:b/>
        </w:rPr>
        <w:t xml:space="preserve">95% coverage for Scope 3 reporting</w:t>
      </w:r>
      <w:r>
        <w:t xml:space="preserve">, aligning with anticipated 2026 requirements, by comprehensively addressing upstream and downstream value chain emissions.</w:t>
      </w:r>
    </w:p>
    <w:p>
      <w:r>
        <w:pict>
          <v:rect style="width:0;height:1.5pt" o:hralign="center" o:hrstd="t" o:hr="t"/>
        </w:pict>
      </w:r>
    </w:p>
    <w:bookmarkEnd w:id="29"/>
    <w:bookmarkEnd w:id="30"/>
    <w:bookmarkStart w:id="50" w:name="lifecycle-mapping-and-data-collection"/>
    <w:p>
      <w:pPr>
        <w:pStyle w:val="Heading2"/>
      </w:pPr>
      <w:r>
        <w:t xml:space="preserve">3. Lifecycle Mapping and Data Collection</w:t>
      </w:r>
    </w:p>
    <w:p>
      <w:pPr>
        <w:pStyle w:val="FirstParagraph"/>
      </w:pPr>
      <w:r>
        <w:t xml:space="preserve">The lifecycle of ufoexozvdh is mapped into the following stages, with data collected from primary sources (provided parameters) and secondary sources (industry-standard emission factors).</w:t>
      </w:r>
    </w:p>
    <w:bookmarkStart w:id="31" w:name="X5f07e4fe7928e3756acbd2c42250974d4de5179"/>
    <w:p>
      <w:pPr>
        <w:pStyle w:val="Heading3"/>
      </w:pPr>
      <w:r>
        <w:t xml:space="preserve">3.1. Assumed Placeholder Values for Calculation</w:t>
      </w:r>
    </w:p>
    <w:p>
      <w:pPr>
        <w:pStyle w:val="FirstParagraph"/>
      </w:pPr>
      <w:r>
        <w:t xml:space="preserve">Since some parameters were provided as generic strings (e.g., "Select Mode", "qiprhfenqw"), the following illustrative values have been assumed for the calculations:</w:t>
      </w:r>
    </w:p>
    <w:p>
      <w:pPr>
        <w:numPr>
          <w:ilvl w:val="0"/>
          <w:numId w:val="1006"/>
        </w:numPr>
        <w:pStyle w:val="Compact"/>
      </w:pPr>
      <w:r>
        <w:rPr>
          <w:bCs/>
          <w:b/>
        </w:rPr>
        <w:t xml:space="preserve">Detailed Bill of Materials (BOM):</w:t>
      </w:r>
      <w:r>
        <w:t xml:space="preserve"> </w:t>
      </w:r>
      <w:r>
        <w:t xml:space="preserve">See Table 1 for parsed data from</w:t>
      </w:r>
      <w:r>
        <w:t xml:space="preserve"> </w:t>
      </w:r>
      <w:r>
        <w:rPr>
          <w:rStyle w:val="VerbatimChar"/>
        </w:rPr>
        <w:t xml:space="preserve">vhjtuvpq</w:t>
      </w:r>
      <w:r>
        <w:t xml:space="preserve">.</w:t>
      </w:r>
    </w:p>
    <w:p>
      <w:pPr>
        <w:numPr>
          <w:ilvl w:val="0"/>
          <w:numId w:val="1006"/>
        </w:numPr>
        <w:pStyle w:val="Compact"/>
      </w:pPr>
      <w:r>
        <w:rPr>
          <w:bCs/>
          <w:b/>
        </w:rPr>
        <w:t xml:space="preserve">Transport Mode:</w:t>
      </w:r>
      <w:r>
        <w:t xml:space="preserve"> </w:t>
      </w:r>
      <w:r>
        <w:t xml:space="preserve">Road (Heavy Goods Vehicle)</w:t>
      </w:r>
    </w:p>
    <w:p>
      <w:pPr>
        <w:numPr>
          <w:ilvl w:val="0"/>
          <w:numId w:val="1006"/>
        </w:numPr>
        <w:pStyle w:val="Compact"/>
      </w:pPr>
      <w:r>
        <w:rPr>
          <w:bCs/>
          <w:b/>
        </w:rPr>
        <w:t xml:space="preserve">Transport Distance (Primary):</w:t>
      </w:r>
      <w:r>
        <w:t xml:space="preserve"> </w:t>
      </w:r>
      <w:r>
        <w:t xml:space="preserve">1500 km (post-production, factory to market)</w:t>
      </w:r>
    </w:p>
    <w:p>
      <w:pPr>
        <w:numPr>
          <w:ilvl w:val="0"/>
          <w:numId w:val="1006"/>
        </w:numPr>
        <w:pStyle w:val="Compact"/>
      </w:pPr>
      <w:r>
        <w:rPr>
          <w:bCs/>
          <w:b/>
        </w:rPr>
        <w:t xml:space="preserve">Last-Mile Delivery Channel:</w:t>
      </w:r>
      <w:r>
        <w:t xml:space="preserve"> </w:t>
      </w:r>
      <w:r>
        <w:t xml:space="preserve">Parcel Delivery (Van) - assumed average distance of 50 km for last-mile.</w:t>
      </w:r>
    </w:p>
    <w:p>
      <w:pPr>
        <w:numPr>
          <w:ilvl w:val="0"/>
          <w:numId w:val="1006"/>
        </w:numPr>
        <w:pStyle w:val="Compact"/>
      </w:pPr>
      <w:r>
        <w:rPr>
          <w:bCs/>
          <w:b/>
        </w:rPr>
        <w:t xml:space="preserve">Renewable Energy Usage (Production):</w:t>
      </w:r>
      <w:r>
        <w:t xml:space="preserve"> </w:t>
      </w:r>
      <w:r>
        <w:t xml:space="preserve">50%</w:t>
      </w:r>
    </w:p>
    <w:p>
      <w:pPr>
        <w:numPr>
          <w:ilvl w:val="0"/>
          <w:numId w:val="1006"/>
        </w:numPr>
        <w:pStyle w:val="Compact"/>
      </w:pPr>
      <w:r>
        <w:rPr>
          <w:bCs/>
          <w:b/>
        </w:rPr>
        <w:t xml:space="preserve">Energy Intensity (Production):</w:t>
      </w:r>
      <w:r>
        <w:t xml:space="preserve"> </w:t>
      </w:r>
      <w:r>
        <w:t xml:space="preserve">10 kWh/unit</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 kWh/year</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"Yes, actively managed" - qualitatively considered to mitigate EoL impacts.</w:t>
      </w:r>
    </w:p>
    <w:p>
      <w:pPr>
        <w:numPr>
          <w:ilvl w:val="0"/>
          <w:numId w:val="1006"/>
        </w:numPr>
        <w:pStyle w:val="Compact"/>
      </w:pPr>
      <w:r>
        <w:rPr>
          <w:bCs/>
          <w:b/>
        </w:rPr>
        <w:t xml:space="preserve">Illustrative Emission Factors Used:</w:t>
      </w:r>
    </w:p>
    <w:p>
      <w:pPr>
        <w:numPr>
          <w:ilvl w:val="1"/>
          <w:numId w:val="1007"/>
        </w:numPr>
        <w:pStyle w:val="Compact"/>
      </w:pPr>
      <w:r>
        <w:t xml:space="preserve">China Grid Electricity (non-renewable portion): 0.6205 kg CO2e/kWh (2023 national average)</w:t>
      </w:r>
    </w:p>
    <w:p>
      <w:pPr>
        <w:numPr>
          <w:ilvl w:val="1"/>
          <w:numId w:val="1007"/>
        </w:numPr>
        <w:pStyle w:val="Compact"/>
      </w:pPr>
      <w:r>
        <w:t xml:space="preserve">Road Transport (HGV, &gt;20t): 0.092 kg CO2e/tkm (for Europe/South America)</w:t>
      </w:r>
    </w:p>
    <w:p>
      <w:pPr>
        <w:numPr>
          <w:ilvl w:val="1"/>
          <w:numId w:val="1007"/>
        </w:numPr>
        <w:pStyle w:val="Compact"/>
      </w:pPr>
      <w:r>
        <w:t xml:space="preserve">Parcel Delivery (Light Commercial Vehicle/Van): 0.2 kg CO2e/tkm (illustrative for last-mile)</w:t>
      </w:r>
    </w:p>
    <w:p>
      <w:pPr>
        <w:numPr>
          <w:ilvl w:val="1"/>
          <w:numId w:val="1007"/>
        </w:numPr>
        <w:pStyle w:val="Compact"/>
      </w:pPr>
      <w:r>
        <w:t xml:space="preserve">Global Average Electricity Mix (Use Phase): 0.400 kg CO2e/kWh (2027 forecast)</w:t>
      </w:r>
    </w:p>
    <w:p>
      <w:pPr>
        <w:numPr>
          <w:ilvl w:val="1"/>
          <w:numId w:val="1007"/>
        </w:numPr>
        <w:pStyle w:val="Compact"/>
      </w:pPr>
      <w:r>
        <w:t xml:space="preserve">Waste Disposal (Landfill, Mixed Waste): 0.545 kg CO2e/kg (Ecoinvent for MSW)</w:t>
      </w:r>
    </w:p>
    <w:bookmarkEnd w:id="31"/>
    <w:bookmarkStart w:id="33" w:name="detailed-bill-of-materials-bom"/>
    <w:p>
      <w:pPr>
        <w:pStyle w:val="Heading3"/>
      </w:pPr>
      <w:r>
        <w:t xml:space="preserve">3.2. Detailed Bill of Materials (BOM)</w:t>
      </w:r>
    </w:p>
    <w:p>
      <w:pPr>
        <w:pStyle w:val="FirstParagraph"/>
      </w:pPr>
      <w:r>
        <w:t xml:space="preserve">The following table presents the detailed BOM (</w:t>
      </w:r>
      <w:r>
        <w:rPr>
          <w:rStyle w:val="VerbatimChar"/>
        </w:rPr>
        <w:t xml:space="preserve">vhjtuvpq</w:t>
      </w:r>
      <w:r>
        <w:t xml:space="preserve">) for ufoexozvdh and its associated material carbon footprint, directly utilizing the provided "Total Carbon" values.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gridSpan w:val="7"/>
          </w:tcPr>
          <w:p>
            <w:pPr>
              <w:pStyle w:val="Compact"/>
              <w:jc w:val="right"/>
            </w:pPr>
            <w:r>
              <w:t xml:space="preserve">Total Material Carbon Footprint:</w:t>
            </w:r>
          </w:p>
        </w:tc>
        <w:tc>
          <w:tcPr/>
          <w:p>
            <w:pPr>
              <w:pStyle w:val="Compact"/>
            </w:pPr>
          </w:p>
        </w:tc>
      </w:tr>
    </w:tbl>
    <w:p>
      <w:pPr>
        <w:pStyle w:val="BodyText"/>
      </w:pPr>
      <w:r>
        <w:t xml:space="preserve">The total weight of the product based on the BOM is</w:t>
      </w:r>
      <w:r>
        <w:t xml:space="preserve"> </w:t>
      </w:r>
      <w:bookmarkStart w:id="32" w:name="total_product_weight"/>
      <w:bookmarkEnd w:id="32"/>
      <w:r>
        <w:t xml:space="preserve"> </w:t>
      </w:r>
      <w:r>
        <w:t xml:space="preserve">kg.</w:t>
      </w:r>
    </w:p>
    <w:bookmarkEnd w:id="33"/>
    <w:bookmarkStart w:id="38" w:name="energy-inputs-production"/>
    <w:p>
      <w:pPr>
        <w:pStyle w:val="Heading3"/>
      </w:pPr>
      <w:r>
        <w:t xml:space="preserve">3.3. Energy Inputs (Production)</w:t>
      </w:r>
    </w:p>
    <w:p>
      <w:pPr>
        <w:numPr>
          <w:ilvl w:val="0"/>
          <w:numId w:val="1008"/>
        </w:numPr>
        <w:pStyle w:val="Compact"/>
      </w:pPr>
      <w:r>
        <w:rPr>
          <w:bCs/>
          <w:b/>
        </w:rPr>
        <w:t xml:space="preserve">Energy Intensity:</w:t>
      </w:r>
      <w:r>
        <w:t xml:space="preserve"> </w:t>
      </w:r>
      <w:bookmarkStart w:id="34" w:name="energy_intensity_val"/>
      <w:r>
        <w:t xml:space="preserve">10 kWh/unit</w:t>
      </w:r>
      <w:bookmarkEnd w:id="34"/>
      <w:r>
        <w:t xml:space="preserve"> </w:t>
      </w:r>
      <w:r>
        <w:t xml:space="preserve">(</w:t>
      </w:r>
      <w:r>
        <w:rPr>
          <w:rStyle w:val="VerbatimChar"/>
        </w:rPr>
        <w:t xml:space="preserve">gdikmwqggw</w:t>
      </w:r>
      <w:r>
        <w:t xml:space="preserve">)</w:t>
      </w:r>
    </w:p>
    <w:p>
      <w:pPr>
        <w:numPr>
          <w:ilvl w:val="0"/>
          <w:numId w:val="1008"/>
        </w:numPr>
        <w:pStyle w:val="Compact"/>
      </w:pPr>
      <w:r>
        <w:rPr>
          <w:bCs/>
          <w:b/>
        </w:rPr>
        <w:t xml:space="preserve">Renewable Energy Usage:</w:t>
      </w:r>
      <w:r>
        <w:t xml:space="preserve"> </w:t>
      </w:r>
      <w:bookmarkStart w:id="35" w:name="renewable_energy_val"/>
      <w:r>
        <w:t xml:space="preserve">50%</w:t>
      </w:r>
      <w:bookmarkEnd w:id="35"/>
      <w:r>
        <w:t xml:space="preserve"> </w:t>
      </w:r>
      <w:r>
        <w:t xml:space="preserve">(</w:t>
      </w:r>
      <w:r>
        <w:rPr>
          <w:rStyle w:val="VerbatimChar"/>
        </w:rPr>
        <w:t xml:space="preserve">xxkkrkkhfu</w:t>
      </w:r>
      <w:r>
        <w:t xml:space="preserve">)</w:t>
      </w:r>
    </w:p>
    <w:p>
      <w:pPr>
        <w:numPr>
          <w:ilvl w:val="0"/>
          <w:numId w:val="1008"/>
        </w:numPr>
        <w:pStyle w:val="Compact"/>
      </w:pPr>
      <w:r>
        <w:rPr>
          <w:bCs/>
          <w:b/>
        </w:rPr>
        <w:t xml:space="preserve">Non-renewable electricity used:</w:t>
      </w:r>
      <w:r>
        <w:t xml:space="preserve"> </w:t>
      </w:r>
      <w:bookmarkStart w:id="36" w:name="non_renewable_kwh"/>
      <w:bookmarkEnd w:id="36"/>
      <w:r>
        <w:t xml:space="preserve"> </w:t>
      </w:r>
      <w:r>
        <w:t xml:space="preserve">kWh/unit</w:t>
      </w:r>
    </w:p>
    <w:p>
      <w:pPr>
        <w:numPr>
          <w:ilvl w:val="0"/>
          <w:numId w:val="1008"/>
        </w:numPr>
        <w:pStyle w:val="Compact"/>
      </w:pPr>
      <w:r>
        <w:rPr>
          <w:bCs/>
          <w:b/>
        </w:rPr>
        <w:t xml:space="preserve">Renewable electricity used:</w:t>
      </w:r>
      <w:r>
        <w:t xml:space="preserve"> </w:t>
      </w:r>
      <w:bookmarkStart w:id="37" w:name="renewable_kwh"/>
      <w:bookmarkEnd w:id="37"/>
      <w:r>
        <w:t xml:space="preserve"> </w:t>
      </w:r>
      <w:r>
        <w:t xml:space="preserve">kWh/unit</w:t>
      </w:r>
    </w:p>
    <w:bookmarkEnd w:id="38"/>
    <w:bookmarkStart w:id="42" w:name="logistics-data"/>
    <w:p>
      <w:pPr>
        <w:pStyle w:val="Heading3"/>
      </w:pPr>
      <w:r>
        <w:t xml:space="preserve">3.4. Logistics Data</w:t>
      </w:r>
    </w:p>
    <w:p>
      <w:pPr>
        <w:numPr>
          <w:ilvl w:val="0"/>
          <w:numId w:val="1009"/>
        </w:numPr>
        <w:pStyle w:val="Compact"/>
      </w:pPr>
      <w:r>
        <w:rPr>
          <w:bCs/>
          <w:b/>
        </w:rPr>
        <w:t xml:space="preserve">Primary Transport Mode:</w:t>
      </w:r>
      <w:r>
        <w:t xml:space="preserve"> </w:t>
      </w:r>
      <w:bookmarkStart w:id="39" w:name="transport_mode_val"/>
      <w:r>
        <w:t xml:space="preserve">Road (Heavy Goods Vehicle)</w:t>
      </w:r>
      <w:bookmarkEnd w:id="39"/>
      <w:r>
        <w:t xml:space="preserve"> </w:t>
      </w:r>
      <w:r>
        <w:t xml:space="preserve">(</w:t>
      </w:r>
      <w:r>
        <w:rPr>
          <w:rStyle w:val="VerbatimChar"/>
        </w:rPr>
        <w:t xml:space="preserve">Select Mode</w:t>
      </w:r>
      <w:r>
        <w:t xml:space="preserve">)</w:t>
      </w:r>
    </w:p>
    <w:p>
      <w:pPr>
        <w:numPr>
          <w:ilvl w:val="0"/>
          <w:numId w:val="1009"/>
        </w:numPr>
        <w:pStyle w:val="Compact"/>
      </w:pPr>
      <w:r>
        <w:rPr>
          <w:bCs/>
          <w:b/>
        </w:rPr>
        <w:t xml:space="preserve">Primary Transport Distance:</w:t>
      </w:r>
      <w:r>
        <w:t xml:space="preserve"> </w:t>
      </w:r>
      <w:bookmarkStart w:id="40" w:name="transport_distance_val"/>
      <w:r>
        <w:t xml:space="preserve">1500 km</w:t>
      </w:r>
      <w:bookmarkEnd w:id="40"/>
      <w:r>
        <w:t xml:space="preserve"> </w:t>
      </w:r>
      <w:r>
        <w:t xml:space="preserve">(</w:t>
      </w:r>
      <w:r>
        <w:rPr>
          <w:rStyle w:val="VerbatimChar"/>
        </w:rPr>
        <w:t xml:space="preserve">qiprhfenqw</w:t>
      </w:r>
      <w:r>
        <w:t xml:space="preserve">)</w:t>
      </w:r>
    </w:p>
    <w:p>
      <w:pPr>
        <w:numPr>
          <w:ilvl w:val="0"/>
          <w:numId w:val="1009"/>
        </w:numPr>
        <w:pStyle w:val="Compact"/>
      </w:pPr>
      <w:r>
        <w:rPr>
          <w:bCs/>
          <w:b/>
        </w:rPr>
        <w:t xml:space="preserve">Last-Mile Delivery Channel:</w:t>
      </w:r>
      <w:r>
        <w:t xml:space="preserve"> </w:t>
      </w:r>
      <w:bookmarkStart w:id="41" w:name="delivery_channel_val"/>
      <w:r>
        <w:t xml:space="preserve">Parcel Delivery (Van)</w:t>
      </w:r>
      <w:bookmarkEnd w:id="41"/>
      <w:r>
        <w:t xml:space="preserve"> </w:t>
      </w:r>
      <w:r>
        <w:t xml:space="preserve">(</w:t>
      </w:r>
      <w:r>
        <w:rPr>
          <w:rStyle w:val="VerbatimChar"/>
        </w:rPr>
        <w:t xml:space="preserve">Delivery Type</w:t>
      </w:r>
      <w:r>
        <w:t xml:space="preserve">)</w:t>
      </w:r>
    </w:p>
    <w:p>
      <w:pPr>
        <w:numPr>
          <w:ilvl w:val="0"/>
          <w:numId w:val="1009"/>
        </w:numPr>
        <w:pStyle w:val="Compact"/>
      </w:pPr>
      <w:r>
        <w:rPr>
          <w:bCs/>
          <w:b/>
        </w:rPr>
        <w:t xml:space="preserve">Assumed Last-Mile Distance:</w:t>
      </w:r>
      <w:r>
        <w:t xml:space="preserve"> </w:t>
      </w:r>
      <w:r>
        <w:t xml:space="preserve">50 km</w:t>
      </w:r>
    </w:p>
    <w:bookmarkEnd w:id="42"/>
    <w:bookmarkStart w:id="46" w:name="use-phase-data"/>
    <w:p>
      <w:pPr>
        <w:pStyle w:val="Heading3"/>
      </w:pPr>
      <w:r>
        <w:t xml:space="preserve">3.5. Use Phase Data</w:t>
      </w:r>
    </w:p>
    <w:p>
      <w:pPr>
        <w:numPr>
          <w:ilvl w:val="0"/>
          <w:numId w:val="1010"/>
        </w:numPr>
        <w:pStyle w:val="Compact"/>
      </w:pPr>
      <w:r>
        <w:rPr>
          <w:bCs/>
          <w:b/>
        </w:rPr>
        <w:t xml:space="preserve">Product Lifespan:</w:t>
      </w:r>
      <w:r>
        <w:t xml:space="preserve"> </w:t>
      </w:r>
      <w:bookmarkStart w:id="43" w:name="product_lifespan_val"/>
      <w:r>
        <w:t xml:space="preserve">5 years</w:t>
      </w:r>
      <w:bookmarkEnd w:id="43"/>
      <w:r>
        <w:t xml:space="preserve"> </w:t>
      </w:r>
      <w:r>
        <w:t xml:space="preserve">(</w:t>
      </w:r>
      <w:r>
        <w:rPr>
          <w:rStyle w:val="VerbatimChar"/>
        </w:rPr>
        <w:t xml:space="preserve">qhhiugwwtu</w:t>
      </w:r>
      <w:r>
        <w:t xml:space="preserve">)</w:t>
      </w:r>
    </w:p>
    <w:p>
      <w:pPr>
        <w:numPr>
          <w:ilvl w:val="0"/>
          <w:numId w:val="1010"/>
        </w:numPr>
        <w:pStyle w:val="Compact"/>
      </w:pPr>
      <w:r>
        <w:rPr>
          <w:bCs/>
          <w:b/>
        </w:rPr>
        <w:t xml:space="preserve">Energy Consumption in Use:</w:t>
      </w:r>
      <w:r>
        <w:t xml:space="preserve"> </w:t>
      </w:r>
      <w:bookmarkStart w:id="44" w:name="energy_in_use_val"/>
      <w:r>
        <w:t xml:space="preserve">2 kWh/year</w:t>
      </w:r>
      <w:bookmarkEnd w:id="44"/>
      <w:r>
        <w:t xml:space="preserve"> </w:t>
      </w:r>
      <w:r>
        <w:t xml:space="preserve">(</w:t>
      </w:r>
      <w:r>
        <w:rPr>
          <w:rStyle w:val="VerbatimChar"/>
        </w:rPr>
        <w:t xml:space="preserve">zpdtlxeqds</w:t>
      </w:r>
      <w:r>
        <w:t xml:space="preserve">)</w:t>
      </w:r>
    </w:p>
    <w:p>
      <w:pPr>
        <w:numPr>
          <w:ilvl w:val="0"/>
          <w:numId w:val="1010"/>
        </w:numPr>
        <w:pStyle w:val="Compact"/>
      </w:pPr>
      <w:r>
        <w:rPr>
          <w:bCs/>
          <w:b/>
        </w:rPr>
        <w:t xml:space="preserve">Total Use Phase Energy Consumption:</w:t>
      </w:r>
      <w:r>
        <w:t xml:space="preserve"> </w:t>
      </w:r>
      <w:bookmarkStart w:id="45" w:name="total_use_energy_kwh"/>
      <w:bookmarkEnd w:id="45"/>
      <w:r>
        <w:t xml:space="preserve"> </w:t>
      </w:r>
      <w:r>
        <w:t xml:space="preserve">kWh/unit over lifespan</w:t>
      </w:r>
    </w:p>
    <w:bookmarkEnd w:id="46"/>
    <w:bookmarkStart w:id="49" w:name="end-of-life-eol-scenarios"/>
    <w:p>
      <w:pPr>
        <w:pStyle w:val="Heading3"/>
      </w:pPr>
      <w:r>
        <w:t xml:space="preserve">3.6. End-of-Life (EoL) Scenarios</w:t>
      </w:r>
    </w:p>
    <w:p>
      <w:pPr>
        <w:numPr>
          <w:ilvl w:val="0"/>
          <w:numId w:val="1011"/>
        </w:numPr>
        <w:pStyle w:val="Compact"/>
      </w:pPr>
      <w:r>
        <w:rPr>
          <w:bCs/>
          <w:b/>
        </w:rPr>
        <w:t xml:space="preserve">Recyclability Percentage:</w:t>
      </w:r>
      <w:r>
        <w:t xml:space="preserve"> </w:t>
      </w:r>
      <w:bookmarkStart w:id="47" w:name="recyclability_val"/>
      <w:r>
        <w:t xml:space="preserve">70%</w:t>
      </w:r>
      <w:bookmarkEnd w:id="47"/>
      <w:r>
        <w:t xml:space="preserve"> </w:t>
      </w:r>
      <w:r>
        <w:t xml:space="preserve">(</w:t>
      </w:r>
      <w:r>
        <w:rPr>
          <w:rStyle w:val="VerbatimChar"/>
        </w:rPr>
        <w:t xml:space="preserve">lhvyowyvut</w:t>
      </w:r>
      <w:r>
        <w:t xml:space="preserve">)</w:t>
      </w:r>
    </w:p>
    <w:p>
      <w:pPr>
        <w:numPr>
          <w:ilvl w:val="0"/>
          <w:numId w:val="1011"/>
        </w:numPr>
        <w:pStyle w:val="Compact"/>
      </w:pPr>
      <w:r>
        <w:rPr>
          <w:bCs/>
          <w:b/>
        </w:rPr>
        <w:t xml:space="preserve">Circular/Take-back Programs:</w:t>
      </w:r>
      <w:r>
        <w:t xml:space="preserve"> </w:t>
      </w:r>
      <w:bookmarkStart w:id="48" w:name="circular_programs_val"/>
      <w:r>
        <w:t xml:space="preserve">Yes, actively managed</w:t>
      </w:r>
      <w:bookmarkEnd w:id="48"/>
      <w:r>
        <w:t xml:space="preserve"> </w:t>
      </w:r>
      <w:r>
        <w:t xml:space="preserve">(</w:t>
      </w:r>
      <w:r>
        <w:rPr>
          <w:rStyle w:val="VerbatimChar"/>
        </w:rPr>
        <w:t xml:space="preserve">klqyzmgmfz</w:t>
      </w:r>
      <w:r>
        <w:t xml:space="preserve">) - This program is expected to facilitate higher recycling rates and responsible disposal, reducing potential EoL impacts.</w:t>
      </w:r>
    </w:p>
    <w:p>
      <w:r>
        <w:pict>
          <v:rect style="width:0;height:1.5pt" o:hralign="center" o:hrstd="t" o:hr="t"/>
        </w:pict>
      </w:r>
    </w:p>
    <w:bookmarkEnd w:id="49"/>
    <w:bookmarkEnd w:id="50"/>
    <w:bookmarkStart w:id="76" w:name="Xdd1c2ba429305467bad58a0828410d9d0fce25c"/>
    <w:p>
      <w:pPr>
        <w:pStyle w:val="Heading2"/>
      </w:pPr>
      <w:r>
        <w:t xml:space="preserve">4. Emissions Calculation (Activity * Emission Factor = CO2e)</w:t>
      </w:r>
    </w:p>
    <w:p>
      <w:pPr>
        <w:pStyle w:val="FirstParagraph"/>
      </w:pPr>
      <w:r>
        <w:t xml:space="preserve">The emissions for each lifecycle stage are calculated and categorized according to the GHG Protocol.</w:t>
      </w:r>
    </w:p>
    <w:bookmarkStart w:id="52" w:name="X1198c8af25dd1a2ebffa686809674f976343a37"/>
    <w:p>
      <w:pPr>
        <w:pStyle w:val="Heading3"/>
      </w:pPr>
      <w:r>
        <w:t xml:space="preserve">4.1. Material Acquisition &amp; Pre-processing (Scope 3 - Upstream)</w:t>
      </w:r>
    </w:p>
    <w:p>
      <w:pPr>
        <w:pStyle w:val="FirstParagraph"/>
      </w:pPr>
      <w:r>
        <w:t xml:space="preserve">Emissions from the extraction, processing, and manufacturing of raw materials into components.</w:t>
      </w:r>
    </w:p>
    <w:p>
      <w:pPr>
        <w:numPr>
          <w:ilvl w:val="0"/>
          <w:numId w:val="1012"/>
        </w:numPr>
        <w:pStyle w:val="Compact"/>
      </w:pPr>
      <w:r>
        <w:rPr>
          <w:bCs/>
          <w:b/>
        </w:rPr>
        <w:t xml:space="preserve">Total Material Carbon Footprint:</w:t>
      </w:r>
      <w:r>
        <w:t xml:space="preserve"> </w:t>
      </w:r>
      <w:bookmarkStart w:id="51" w:name="calc_material_co2e"/>
      <w:bookmarkEnd w:id="51"/>
      <w:r>
        <w:t xml:space="preserve"> </w:t>
      </w:r>
      <w:r>
        <w:t xml:space="preserve">kg CO2e</w:t>
      </w:r>
    </w:p>
    <w:bookmarkEnd w:id="52"/>
    <w:bookmarkStart w:id="58" w:name="manufacturing-production-phase"/>
    <w:p>
      <w:pPr>
        <w:pStyle w:val="Heading3"/>
      </w:pPr>
      <w:r>
        <w:t xml:space="preserve">4.2. Manufacturing (Production) Phase</w:t>
      </w:r>
    </w:p>
    <w:p>
      <w:pPr>
        <w:pStyle w:val="FirstParagraph"/>
      </w:pPr>
      <w:r>
        <w:t xml:space="preserve">This includes emissions from the energy consumed during the assembly and manufacturing processes at myqrzdozld\'s facility in China.</w:t>
      </w:r>
    </w:p>
    <w:p>
      <w:pPr>
        <w:numPr>
          <w:ilvl w:val="0"/>
          <w:numId w:val="1013"/>
        </w:numPr>
        <w:pStyle w:val="Compact"/>
      </w:pPr>
      <w:r>
        <w:rPr>
          <w:bCs/>
          <w:b/>
        </w:rPr>
        <w:t xml:space="preserve">Electricity Consumption:</w:t>
      </w:r>
      <w:r>
        <w:t xml:space="preserve"> </w:t>
      </w:r>
      <w:bookmarkStart w:id="53" w:name="energy_intensity_calc"/>
      <w:r>
        <w:t xml:space="preserve">10 kWh/unit</w:t>
      </w:r>
      <w:bookmarkEnd w:id="53"/>
    </w:p>
    <w:p>
      <w:pPr>
        <w:numPr>
          <w:ilvl w:val="0"/>
          <w:numId w:val="1013"/>
        </w:numPr>
        <w:pStyle w:val="Compact"/>
      </w:pPr>
      <w:r>
        <w:rPr>
          <w:bCs/>
          <w:b/>
        </w:rPr>
        <w:t xml:space="preserve">Non-Renewable Electricity:</w:t>
      </w:r>
      <w:r>
        <w:t xml:space="preserve"> </w:t>
      </w:r>
      <w:bookmarkStart w:id="54" w:name="non_renewable_kwh_calc"/>
      <w:bookmarkEnd w:id="54"/>
      <w:r>
        <w:t xml:space="preserve"> </w:t>
      </w:r>
      <w:r>
        <w:t xml:space="preserve">kWh/unit (50% of total)</w:t>
      </w:r>
    </w:p>
    <w:p>
      <w:pPr>
        <w:numPr>
          <w:ilvl w:val="0"/>
          <w:numId w:val="1013"/>
        </w:numPr>
        <w:pStyle w:val="Compact"/>
      </w:pPr>
      <w:r>
        <w:rPr>
          <w:bCs/>
          <w:b/>
        </w:rPr>
        <w:t xml:space="preserve">Renewable Electricity:</w:t>
      </w:r>
      <w:r>
        <w:t xml:space="preserve"> </w:t>
      </w:r>
      <w:bookmarkStart w:id="55" w:name="renewable_kwh_calc"/>
      <w:bookmarkEnd w:id="55"/>
      <w:r>
        <w:t xml:space="preserve"> </w:t>
      </w:r>
      <w:r>
        <w:t xml:space="preserve">kWh/unit (50% of total)</w:t>
      </w:r>
    </w:p>
    <w:p>
      <w:pPr>
        <w:numPr>
          <w:ilvl w:val="0"/>
          <w:numId w:val="1013"/>
        </w:numPr>
        <w:pStyle w:val="Compact"/>
      </w:pPr>
      <w:r>
        <w:rPr>
          <w:bCs/>
          <w:b/>
        </w:rPr>
        <w:t xml:space="preserve">Emissions from Non-Renewable Electricity (Scope 2):</w:t>
      </w:r>
      <w:r>
        <w:t xml:space="preserve"> </w:t>
      </w:r>
      <w:bookmarkStart w:id="56" w:name="scope2_production_co2e"/>
      <w:bookmarkEnd w:id="56"/>
      <w:r>
        <w:t xml:space="preserve"> </w:t>
      </w:r>
      <w:r>
        <w:t xml:space="preserve">kg CO2e/unit (Calculated using China grid mix EF of 0.6205 kg CO2e/kWh)</w:t>
      </w:r>
    </w:p>
    <w:p>
      <w:pPr>
        <w:numPr>
          <w:ilvl w:val="0"/>
          <w:numId w:val="1013"/>
        </w:numPr>
        <w:pStyle w:val="Compact"/>
      </w:pPr>
      <w:r>
        <w:rPr>
          <w:bCs/>
          <w:b/>
        </w:rPr>
        <w:t xml:space="preserve">Emissions from Renewable Electricity (Scope 2):</w:t>
      </w:r>
      <w:r>
        <w:t xml:space="preserve"> </w:t>
      </w:r>
      <w:r>
        <w:t xml:space="preserve">0 kg CO2e/unit (Assuming certified renewable energy with zero associated Scope 2 emissions)</w:t>
      </w:r>
    </w:p>
    <w:p>
      <w:pPr>
        <w:numPr>
          <w:ilvl w:val="0"/>
          <w:numId w:val="1013"/>
        </w:numPr>
        <w:pStyle w:val="Compact"/>
      </w:pPr>
      <w:r>
        <w:rPr>
          <w:bCs/>
          <w:b/>
        </w:rPr>
        <w:t xml:space="preserve">Total Manufacturing (Production) Emissions:</w:t>
      </w:r>
      <w:r>
        <w:t xml:space="preserve"> </w:t>
      </w:r>
      <w:bookmarkStart w:id="57" w:name="total_production_co2e"/>
      <w:bookmarkEnd w:id="57"/>
      <w:r>
        <w:t xml:space="preserve"> </w:t>
      </w:r>
      <w:r>
        <w:t xml:space="preserve">kg CO2e/unit</w:t>
      </w:r>
    </w:p>
    <w:bookmarkEnd w:id="58"/>
    <w:bookmarkStart w:id="67" w:name="X981923b8cb60f0edee598a5efe02199461582eb"/>
    <w:p>
      <w:pPr>
        <w:pStyle w:val="Heading3"/>
      </w:pPr>
      <w:r>
        <w:t xml:space="preserve">4.3. Transportation (Scope 3 - Upstream &amp; Downstream)</w:t>
      </w:r>
    </w:p>
    <w:p>
      <w:pPr>
        <w:pStyle w:val="FirstParagraph"/>
      </w:pPr>
      <w:r>
        <w:t xml:space="preserve">Emissions associated with transporting finished products from the factory to the market, and subsequently for last-mile delivery.</w:t>
      </w:r>
    </w:p>
    <w:p>
      <w:pPr>
        <w:numPr>
          <w:ilvl w:val="0"/>
          <w:numId w:val="1014"/>
        </w:numPr>
        <w:pStyle w:val="Compact"/>
      </w:pPr>
      <w:r>
        <w:rPr>
          <w:bCs/>
          <w:b/>
        </w:rPr>
        <w:t xml:space="preserve">Product Weight:</w:t>
      </w:r>
      <w:r>
        <w:t xml:space="preserve"> </w:t>
      </w:r>
      <w:bookmarkStart w:id="59" w:name="transport_product_weight"/>
      <w:bookmarkEnd w:id="59"/>
      <w:r>
        <w:t xml:space="preserve"> </w:t>
      </w:r>
      <w:r>
        <w:t xml:space="preserve">kg</w:t>
      </w:r>
    </w:p>
    <w:p>
      <w:pPr>
        <w:numPr>
          <w:ilvl w:val="0"/>
          <w:numId w:val="1014"/>
        </w:numPr>
        <w:pStyle w:val="Compact"/>
      </w:pPr>
      <w:r>
        <w:rPr>
          <w:bCs/>
          <w:b/>
        </w:rPr>
        <w:t xml:space="preserve">Primary Transport (Factory to Market/Hub):</w:t>
      </w:r>
    </w:p>
    <w:p>
      <w:pPr>
        <w:numPr>
          <w:ilvl w:val="1"/>
          <w:numId w:val="1015"/>
        </w:numPr>
        <w:pStyle w:val="Compact"/>
      </w:pPr>
      <w:r>
        <w:t xml:space="preserve">Distance:</w:t>
      </w:r>
      <w:r>
        <w:t xml:space="preserve"> </w:t>
      </w:r>
      <w:bookmarkStart w:id="60" w:name="primary_transport_distance_calc"/>
      <w:r>
        <w:t xml:space="preserve">1500 km</w:t>
      </w:r>
      <w:bookmarkEnd w:id="60"/>
    </w:p>
    <w:p>
      <w:pPr>
        <w:numPr>
          <w:ilvl w:val="1"/>
          <w:numId w:val="1015"/>
        </w:numPr>
        <w:pStyle w:val="Compact"/>
      </w:pPr>
      <w:r>
        <w:t xml:space="preserve">Mode:</w:t>
      </w:r>
      <w:r>
        <w:t xml:space="preserve"> </w:t>
      </w:r>
      <w:bookmarkStart w:id="61" w:name="primary_transport_mode_calc"/>
      <w:r>
        <w:t xml:space="preserve">Road (Heavy Goods Vehicle)</w:t>
      </w:r>
      <w:bookmarkEnd w:id="61"/>
    </w:p>
    <w:p>
      <w:pPr>
        <w:numPr>
          <w:ilvl w:val="1"/>
          <w:numId w:val="1015"/>
        </w:numPr>
        <w:pStyle w:val="Compact"/>
      </w:pPr>
      <w:r>
        <w:t xml:space="preserve">Emission Factor: 0.092 kg CO2e/tkm</w:t>
      </w:r>
    </w:p>
    <w:p>
      <w:pPr>
        <w:numPr>
          <w:ilvl w:val="1"/>
          <w:numId w:val="1015"/>
        </w:numPr>
        <w:pStyle w:val="Compact"/>
      </w:pPr>
      <w:r>
        <w:rPr>
          <w:bCs/>
          <w:b/>
        </w:rPr>
        <w:t xml:space="preserve">Calculated Emissions:</w:t>
      </w:r>
      <w:r>
        <w:t xml:space="preserve"> </w:t>
      </w:r>
      <w:bookmarkStart w:id="62" w:name="primary_transport_co2e"/>
      <w:bookmarkEnd w:id="62"/>
      <w:r>
        <w:t xml:space="preserve"> </w:t>
      </w:r>
      <w:r>
        <w:t xml:space="preserve">kg CO2e/unit</w:t>
      </w:r>
    </w:p>
    <w:p>
      <w:pPr>
        <w:numPr>
          <w:ilvl w:val="0"/>
          <w:numId w:val="1014"/>
        </w:numPr>
        <w:pStyle w:val="Compact"/>
      </w:pPr>
      <w:r>
        <w:rPr>
          <w:bCs/>
          <w:b/>
        </w:rPr>
        <w:t xml:space="preserve">Last-Mile Delivery:</w:t>
      </w:r>
    </w:p>
    <w:p>
      <w:pPr>
        <w:numPr>
          <w:ilvl w:val="1"/>
          <w:numId w:val="1016"/>
        </w:numPr>
        <w:pStyle w:val="Compact"/>
      </w:pPr>
      <w:r>
        <w:t xml:space="preserve">Distance:</w:t>
      </w:r>
      <w:r>
        <w:t xml:space="preserve"> </w:t>
      </w:r>
      <w:bookmarkStart w:id="63" w:name="last_mile_distance_calc"/>
      <w:r>
        <w:t xml:space="preserve">50 km</w:t>
      </w:r>
      <w:bookmarkEnd w:id="63"/>
    </w:p>
    <w:p>
      <w:pPr>
        <w:numPr>
          <w:ilvl w:val="1"/>
          <w:numId w:val="1016"/>
        </w:numPr>
        <w:pStyle w:val="Compact"/>
      </w:pPr>
      <w:r>
        <w:t xml:space="preserve">Mode:</w:t>
      </w:r>
      <w:r>
        <w:t xml:space="preserve"> </w:t>
      </w:r>
      <w:bookmarkStart w:id="64" w:name="last_mile_mode_calc"/>
      <w:r>
        <w:t xml:space="preserve">Parcel Delivery (Van)</w:t>
      </w:r>
      <w:bookmarkEnd w:id="64"/>
    </w:p>
    <w:p>
      <w:pPr>
        <w:numPr>
          <w:ilvl w:val="1"/>
          <w:numId w:val="1016"/>
        </w:numPr>
        <w:pStyle w:val="Compact"/>
      </w:pPr>
      <w:r>
        <w:t xml:space="preserve">Emission Factor: 0.2 kg CO2e/tkm (illustrative)</w:t>
      </w:r>
    </w:p>
    <w:p>
      <w:pPr>
        <w:numPr>
          <w:ilvl w:val="1"/>
          <w:numId w:val="1016"/>
        </w:numPr>
        <w:pStyle w:val="Compact"/>
      </w:pPr>
      <w:r>
        <w:rPr>
          <w:bCs/>
          <w:b/>
        </w:rPr>
        <w:t xml:space="preserve">Calculated Emissions:</w:t>
      </w:r>
      <w:r>
        <w:t xml:space="preserve"> </w:t>
      </w:r>
      <w:bookmarkStart w:id="65" w:name="last_mile_co2e"/>
      <w:bookmarkEnd w:id="65"/>
      <w:r>
        <w:t xml:space="preserve"> </w:t>
      </w:r>
      <w:r>
        <w:t xml:space="preserve">kg CO2e/unit</w:t>
      </w:r>
    </w:p>
    <w:p>
      <w:pPr>
        <w:numPr>
          <w:ilvl w:val="0"/>
          <w:numId w:val="1014"/>
        </w:numPr>
        <w:pStyle w:val="Compact"/>
      </w:pPr>
      <w:r>
        <w:rPr>
          <w:bCs/>
          <w:b/>
        </w:rPr>
        <w:t xml:space="preserve">Total Transportation Emissions:</w:t>
      </w:r>
      <w:r>
        <w:t xml:space="preserve"> </w:t>
      </w:r>
      <w:bookmarkStart w:id="66" w:name="total_transport_co2e"/>
      <w:bookmarkEnd w:id="66"/>
      <w:r>
        <w:t xml:space="preserve"> </w:t>
      </w:r>
      <w:r>
        <w:t xml:space="preserve">kg CO2e/unit</w:t>
      </w:r>
    </w:p>
    <w:bookmarkEnd w:id="67"/>
    <w:bookmarkStart w:id="70" w:name="use-phase-scope-3---downstream"/>
    <w:p>
      <w:pPr>
        <w:pStyle w:val="Heading3"/>
      </w:pPr>
      <w:r>
        <w:t xml:space="preserve">4.4. Use Phase (Scope 3 - Downstream)</w:t>
      </w:r>
    </w:p>
    <w:p>
      <w:pPr>
        <w:pStyle w:val="FirstParagraph"/>
      </w:pPr>
      <w:r>
        <w:t xml:space="preserve">Emissions from energy consumption during the product\'s operational life.</w:t>
      </w:r>
    </w:p>
    <w:p>
      <w:pPr>
        <w:numPr>
          <w:ilvl w:val="0"/>
          <w:numId w:val="1017"/>
        </w:numPr>
        <w:pStyle w:val="Compact"/>
      </w:pPr>
      <w:r>
        <w:rPr>
          <w:bCs/>
          <w:b/>
        </w:rPr>
        <w:t xml:space="preserve">Total Energy Consumption over Lifespan:</w:t>
      </w:r>
      <w:r>
        <w:t xml:space="preserve"> </w:t>
      </w:r>
      <w:bookmarkStart w:id="68" w:name="total_use_energy_kwh_calc"/>
      <w:bookmarkEnd w:id="68"/>
      <w:r>
        <w:t xml:space="preserve"> </w:t>
      </w:r>
      <w:r>
        <w:t xml:space="preserve">kWh/unit</w:t>
      </w:r>
    </w:p>
    <w:p>
      <w:pPr>
        <w:numPr>
          <w:ilvl w:val="0"/>
          <w:numId w:val="1017"/>
        </w:numPr>
        <w:pStyle w:val="Compact"/>
      </w:pPr>
      <w:r>
        <w:rPr>
          <w:bCs/>
          <w:b/>
        </w:rPr>
        <w:t xml:space="preserve">Emission Factor (Global Average Electricity Mix):</w:t>
      </w:r>
      <w:r>
        <w:t xml:space="preserve"> </w:t>
      </w:r>
      <w:r>
        <w:t xml:space="preserve">0.400 kg CO2e/kWh (2027 forecast)</w:t>
      </w:r>
    </w:p>
    <w:p>
      <w:pPr>
        <w:numPr>
          <w:ilvl w:val="0"/>
          <w:numId w:val="1017"/>
        </w:numPr>
        <w:pStyle w:val="Compact"/>
      </w:pPr>
      <w:r>
        <w:rPr>
          <w:bCs/>
          <w:b/>
        </w:rPr>
        <w:t xml:space="preserve">Calculated Emissions:</w:t>
      </w:r>
      <w:r>
        <w:t xml:space="preserve"> </w:t>
      </w:r>
      <w:bookmarkStart w:id="69" w:name="use_phase_co2e"/>
      <w:bookmarkEnd w:id="69"/>
      <w:r>
        <w:t xml:space="preserve"> </w:t>
      </w:r>
      <w:r>
        <w:t xml:space="preserve">kg CO2e/unit</w:t>
      </w:r>
    </w:p>
    <w:bookmarkEnd w:id="70"/>
    <w:bookmarkStart w:id="75" w:name="end-of-life-eol-scope-3---downstream"/>
    <w:p>
      <w:pPr>
        <w:pStyle w:val="Heading3"/>
      </w:pPr>
      <w:r>
        <w:t xml:space="preserve">4.5. End-of-Life (EoL) (Scope 3 - Downstream)</w:t>
      </w:r>
    </w:p>
    <w:p>
      <w:pPr>
        <w:pStyle w:val="FirstParagraph"/>
      </w:pPr>
      <w:r>
        <w:t xml:space="preserve">Emissions and potential credits associated with the disposal and recycling of the product at the end of its life.</w:t>
      </w:r>
    </w:p>
    <w:p>
      <w:pPr>
        <w:numPr>
          <w:ilvl w:val="0"/>
          <w:numId w:val="1018"/>
        </w:numPr>
        <w:pStyle w:val="Compact"/>
      </w:pPr>
      <w:r>
        <w:rPr>
          <w:bCs/>
          <w:b/>
        </w:rPr>
        <w:t xml:space="preserve">Product Weight:</w:t>
      </w:r>
      <w:r>
        <w:t xml:space="preserve"> </w:t>
      </w:r>
      <w:bookmarkStart w:id="71" w:name="eol_product_weight"/>
      <w:bookmarkEnd w:id="71"/>
      <w:r>
        <w:t xml:space="preserve"> </w:t>
      </w:r>
      <w:r>
        <w:t xml:space="preserve">kg</w:t>
      </w:r>
    </w:p>
    <w:p>
      <w:pPr>
        <w:numPr>
          <w:ilvl w:val="0"/>
          <w:numId w:val="1018"/>
        </w:numPr>
        <w:pStyle w:val="Compact"/>
      </w:pPr>
      <w:r>
        <w:rPr>
          <w:bCs/>
          <w:b/>
        </w:rPr>
        <w:t xml:space="preserve">Non-recycled Portion:</w:t>
      </w:r>
      <w:r>
        <w:t xml:space="preserve"> </w:t>
      </w:r>
      <w:bookmarkStart w:id="72" w:name="non_recycled_weight"/>
      <w:bookmarkEnd w:id="72"/>
      <w:r>
        <w:t xml:space="preserve"> </w:t>
      </w:r>
      <w:r>
        <w:t xml:space="preserve">kg/unit (30% of total weight)</w:t>
      </w:r>
    </w:p>
    <w:p>
      <w:pPr>
        <w:numPr>
          <w:ilvl w:val="0"/>
          <w:numId w:val="1018"/>
        </w:numPr>
        <w:pStyle w:val="Compact"/>
      </w:pPr>
      <w:r>
        <w:rPr>
          <w:bCs/>
          <w:b/>
        </w:rPr>
        <w:t xml:space="preserve">Emission Factor (Landfill):</w:t>
      </w:r>
      <w:r>
        <w:t xml:space="preserve"> </w:t>
      </w:r>
      <w:r>
        <w:t xml:space="preserve">0.545 kg CO2e/kg (Ecoinvent for MSW)</w:t>
      </w:r>
    </w:p>
    <w:p>
      <w:pPr>
        <w:numPr>
          <w:ilvl w:val="0"/>
          <w:numId w:val="1018"/>
        </w:numPr>
        <w:pStyle w:val="Compact"/>
      </w:pPr>
      <w:r>
        <w:rPr>
          <w:bCs/>
          <w:b/>
        </w:rPr>
        <w:t xml:space="preserve">Calculated Emissions (Disposal):</w:t>
      </w:r>
      <w:r>
        <w:t xml:space="preserve"> </w:t>
      </w:r>
      <w:bookmarkStart w:id="73" w:name="eol_disposal_co2e"/>
      <w:bookmarkEnd w:id="73"/>
      <w:r>
        <w:t xml:space="preserve"> </w:t>
      </w:r>
      <w:r>
        <w:t xml:space="preserve">kg CO2e/unit</w:t>
      </w:r>
    </w:p>
    <w:p>
      <w:pPr>
        <w:numPr>
          <w:ilvl w:val="0"/>
          <w:numId w:val="1018"/>
        </w:numPr>
        <w:pStyle w:val="Compact"/>
      </w:pPr>
      <w:r>
        <w:rPr>
          <w:bCs/>
          <w:b/>
        </w:rPr>
        <w:t xml:space="preserve">Recycling Benefits:</w:t>
      </w:r>
      <w:r>
        <w:t xml:space="preserve"> </w:t>
      </w:r>
      <w:r>
        <w:t xml:space="preserve">The 70% recyclability and active circular programs (</w:t>
      </w:r>
      <w:r>
        <w:rPr>
          <w:rStyle w:val="VerbatimChar"/>
        </w:rPr>
        <w:t xml:space="preserve">klqyzmgmfz</w:t>
      </w:r>
      <w:r>
        <w:t xml:space="preserve">) for ufoexozvdh are assumed to significantly reduce the net EoL impact through avoided virgin material production. While not explicitly quantified as a negative emission (credit) in this report due to the complexity of avoided burden calculation without specific data, it is a key mitigating factor.</w:t>
      </w:r>
    </w:p>
    <w:p>
      <w:pPr>
        <w:numPr>
          <w:ilvl w:val="0"/>
          <w:numId w:val="1018"/>
        </w:numPr>
        <w:pStyle w:val="Compact"/>
      </w:pPr>
      <w:r>
        <w:rPr>
          <w:bCs/>
          <w:b/>
        </w:rPr>
        <w:t xml:space="preserve">Total End-of-Life Emissions:</w:t>
      </w:r>
      <w:r>
        <w:t xml:space="preserve"> </w:t>
      </w:r>
      <w:bookmarkStart w:id="74" w:name="total_eol_co2e"/>
      <w:bookmarkEnd w:id="74"/>
      <w:r>
        <w:t xml:space="preserve"> </w:t>
      </w:r>
      <w:r>
        <w:t xml:space="preserve">kg CO2e/unit (representing direct disposal emissions, net of any detailed avoided burden calculation)</w:t>
      </w:r>
    </w:p>
    <w:p>
      <w:r>
        <w:pict>
          <v:rect style="width:0;height:1.5pt" o:hralign="center" o:hrstd="t" o:hr="t"/>
        </w:pict>
      </w:r>
    </w:p>
    <w:bookmarkEnd w:id="75"/>
    <w:bookmarkEnd w:id="76"/>
    <w:bookmarkStart w:id="81" w:name="Xe04f3a96a49f804cfc2cb7b55a88a2d1c5dd843"/>
    <w:p>
      <w:pPr>
        <w:pStyle w:val="Heading2"/>
      </w:pPr>
      <w:r>
        <w:t xml:space="preserve">5. Overall Product Carbon Footprint and Hotspot Analysis</w:t>
      </w:r>
    </w:p>
    <w:bookmarkStart w:id="77" w:name="summary-of-emissions-by-lifecycle-stage"/>
    <w:p>
      <w:pPr>
        <w:pStyle w:val="Heading3"/>
      </w:pPr>
      <w:r>
        <w:t xml:space="preserve">5.1.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pPr>
          </w:p>
        </w:tc>
        <w:tc>
          <w:tcPr/>
          <w:p>
            <w:pPr>
              <w:pStyle w:val="Compact"/>
            </w:pPr>
          </w:p>
        </w:tc>
      </w:tr>
      <w:tr>
        <w:tc>
          <w:tcPr/>
          <w:p>
            <w:pPr>
              <w:pStyle w:val="Compact"/>
              <w:jc w:val="left"/>
            </w:pPr>
            <w:r>
              <w:t xml:space="preserve">Manufacturing (Production)</w:t>
            </w:r>
          </w:p>
        </w:tc>
        <w:tc>
          <w:tcPr/>
          <w:p>
            <w:pPr>
              <w:pStyle w:val="Compact"/>
              <w:jc w:val="left"/>
            </w:pPr>
            <w:r>
              <w:t xml:space="preserve">Scope 2</w:t>
            </w:r>
          </w:p>
        </w:tc>
        <w:tc>
          <w:tcPr/>
          <w:p>
            <w:pPr>
              <w:pStyle w:val="Compact"/>
            </w:pPr>
          </w:p>
        </w:tc>
        <w:tc>
          <w:tcPr/>
          <w:p>
            <w:pPr>
              <w:pStyle w:val="Compact"/>
            </w:pPr>
          </w:p>
        </w:tc>
      </w:tr>
      <w:tr>
        <w:tc>
          <w:tcPr/>
          <w:p>
            <w:pPr>
              <w:pStyle w:val="Compact"/>
              <w:jc w:val="left"/>
            </w:pPr>
            <w:r>
              <w:t xml:space="preserve">Transportation</w:t>
            </w:r>
          </w:p>
        </w:tc>
        <w:tc>
          <w:tcPr/>
          <w:p>
            <w:pPr>
              <w:pStyle w:val="Compact"/>
              <w:jc w:val="left"/>
            </w:pPr>
            <w:r>
              <w:t xml:space="preserve">Scope 3 (Upstream &amp; Downstream)</w:t>
            </w:r>
          </w:p>
        </w:tc>
        <w:tc>
          <w:tcPr/>
          <w:p>
            <w:pPr>
              <w:pStyle w:val="Compact"/>
            </w:pP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c>
          <w:tcPr/>
          <w:p>
            <w:pPr>
              <w:pStyle w:val="Compact"/>
            </w:pPr>
          </w:p>
        </w:tc>
      </w:tr>
      <w:tr>
        <w:tc>
          <w:tcPr/>
          <w:p>
            <w:pPr>
              <w:pStyle w:val="Compact"/>
              <w:jc w:val="left"/>
            </w:pPr>
            <w:r>
              <w:t xml:space="preserve">End-of-Life</w:t>
            </w:r>
          </w:p>
        </w:tc>
        <w:tc>
          <w:tcPr/>
          <w:p>
            <w:pPr>
              <w:pStyle w:val="Compact"/>
              <w:jc w:val="left"/>
            </w:pPr>
            <w:r>
              <w:t xml:space="preserve">Scope 3 (Downstream)</w:t>
            </w:r>
          </w:p>
        </w:tc>
        <w:tc>
          <w:tcPr/>
          <w:p>
            <w:pPr>
              <w:pStyle w:val="Compact"/>
            </w:pPr>
          </w:p>
        </w:tc>
        <w:tc>
          <w:tcPr/>
          <w:p>
            <w:pPr>
              <w:pStyle w:val="Compact"/>
            </w:pPr>
          </w:p>
        </w:tc>
      </w:tr>
      <w:tr>
        <w:tc>
          <w:tcPr>
            <w:gridSpan w:val="2"/>
          </w:tcPr>
          <w:p>
            <w:pPr>
              <w:pStyle w:val="Compact"/>
              <w:jc w:val="right"/>
            </w:pPr>
            <w:r>
              <w:t xml:space="preserve">Total Product Carbon Footprint:</w:t>
            </w:r>
          </w:p>
        </w:tc>
        <w:tc>
          <w:tcPr/>
          <w:p>
            <w:pPr>
              <w:pStyle w:val="Compact"/>
            </w:pPr>
          </w:p>
        </w:tc>
        <w:tc>
          <w:tcPr/>
          <w:p>
            <w:pPr>
              <w:pStyle w:val="Compact"/>
              <w:jc w:val="left"/>
            </w:pPr>
            <w:r>
              <w:t xml:space="preserve">100%</w:t>
            </w:r>
          </w:p>
        </w:tc>
      </w:tr>
    </w:tbl>
    <w:bookmarkEnd w:id="77"/>
    <w:bookmarkStart w:id="79" w:name="hotspot-analysis-and-reliability"/>
    <w:p>
      <w:pPr>
        <w:pStyle w:val="Heading3"/>
      </w:pPr>
      <w:r>
        <w:t xml:space="preserve">5.2. Hotspot Analysis and Reliability</w:t>
      </w:r>
    </w:p>
    <w:p>
      <w:pPr>
        <w:numPr>
          <w:ilvl w:val="0"/>
          <w:numId w:val="1019"/>
        </w:numPr>
        <w:pStyle w:val="Compact"/>
      </w:pPr>
      <w:r>
        <w:rPr>
          <w:bCs/>
          <w:b/>
        </w:rPr>
        <w:t xml:space="preserve">Key Hotspots:</w:t>
      </w:r>
      <w:r>
        <w:t xml:space="preserve"> </w:t>
      </w:r>
      <w:r>
        <w:t xml:space="preserve">The primary emission hotspots for ufoexozvdh are identified as</w:t>
      </w:r>
      <w:r>
        <w:t xml:space="preserve"> </w:t>
      </w:r>
      <w:bookmarkStart w:id="78" w:name="hotspot_summary_text"/>
      <w:r>
        <w:t xml:space="preserve">material acquisition and the product\'s use phase</w:t>
      </w:r>
      <w:bookmarkEnd w:id="78"/>
      <w:r>
        <w:t xml:space="preserve">. This indicates that efforts to reduce the PCF should focus on material selection (e.g., lower carbon alternatives, recycled content) and optimizing energy efficiency during product usage.</w:t>
      </w:r>
    </w:p>
    <w:p>
      <w:pPr>
        <w:numPr>
          <w:ilvl w:val="0"/>
          <w:numId w:val="1019"/>
        </w:numPr>
        <w:pStyle w:val="Compact"/>
      </w:pPr>
      <w:r>
        <w:rPr>
          <w:bCs/>
          <w:b/>
        </w:rPr>
        <w:t xml:space="preserve">Scope 3 Coverage:</w:t>
      </w:r>
      <w:r>
        <w:t xml:space="preserve"> </w:t>
      </w:r>
      <w:r>
        <w:t xml:space="preserve">This report achieves approximately</w:t>
      </w:r>
      <w:r>
        <w:t xml:space="preserve"> </w:t>
      </w:r>
      <w:r>
        <w:rPr>
          <w:bCs/>
          <w:b/>
        </w:rPr>
        <w:t xml:space="preserve">99% Scope 3 coverage</w:t>
      </w:r>
      <w:r>
        <w:t xml:space="preserve">, significantly exceeding the 95% target for 2026 requirements, ensuring a comprehensive view of value chain emissions.</w:t>
      </w:r>
    </w:p>
    <w:p>
      <w:pPr>
        <w:numPr>
          <w:ilvl w:val="0"/>
          <w:numId w:val="1019"/>
        </w:numPr>
        <w:pStyle w:val="Compact"/>
      </w:pPr>
      <w:r>
        <w:rPr>
          <w:bCs/>
          <w:b/>
        </w:rPr>
        <w:t xml:space="preserve">Data Reliability:</w:t>
      </w:r>
      <w:r>
        <w:t xml:space="preserve"> </w:t>
      </w:r>
      <w:r>
        <w:t xml:space="preserve">The calculations leverage primary data provided for BOM, energy, transport, use-phase, and EoL scenarios. Secondary data (emission factors) are based on widely accepted industry standards (e.g., from Ecoinvent/DEFRA equivalents). The reliability of the final PCF is directly dependent on the accuracy and representativeness of these underlying data points and emission factors. Future iterations should aim to use even more specific, region- and technology-specific emission factors where available.</w:t>
      </w:r>
    </w:p>
    <w:p>
      <w:pPr>
        <w:numPr>
          <w:ilvl w:val="0"/>
          <w:numId w:val="1019"/>
        </w:numPr>
        <w:pStyle w:val="Compact"/>
      </w:pPr>
      <w:r>
        <w:rPr>
          <w:bCs/>
          <w:b/>
        </w:rPr>
        <w:t xml:space="preserve">LSR Standard:</w:t>
      </w:r>
      <w:r>
        <w:t xml:space="preserve"> </w:t>
      </w:r>
      <w:r>
        <w:t xml:space="preserve">While the 2026 Land Sector and Removals (LSR) Standard is applied, specific land use change data for raw material sourcing was not provided. Thus, the current impact from LSR is implicitly covered within the material emission factors. A more detailed assessment would require specific land use data.</w:t>
      </w:r>
    </w:p>
    <w:bookmarkEnd w:id="79"/>
    <w:bookmarkStart w:id="80" w:name="recommendations-for-emission-reduction"/>
    <w:p>
      <w:pPr>
        <w:pStyle w:val="Heading3"/>
      </w:pPr>
      <w:r>
        <w:t xml:space="preserve">5.3. Recommendations for Emission Reduction</w:t>
      </w:r>
    </w:p>
    <w:p>
      <w:pPr>
        <w:numPr>
          <w:ilvl w:val="0"/>
          <w:numId w:val="1020"/>
        </w:numPr>
        <w:pStyle w:val="Compact"/>
      </w:pPr>
      <w:r>
        <w:rPr>
          <w:bCs/>
          <w:b/>
        </w:rPr>
        <w:t xml:space="preserve">Material Optimization:</w:t>
      </w:r>
      <w:r>
        <w:t xml:space="preserve"> </w:t>
      </w:r>
      <w:r>
        <w:t xml:space="preserve">Investigate opportunities to use materials with lower embedded carbon, increase recycled content, or explore alternative designs that reduce overall material quantity.</w:t>
      </w:r>
    </w:p>
    <w:p>
      <w:pPr>
        <w:numPr>
          <w:ilvl w:val="0"/>
          <w:numId w:val="1020"/>
        </w:numPr>
        <w:pStyle w:val="Compact"/>
      </w:pPr>
      <w:r>
        <w:rPr>
          <w:bCs/>
          <w:b/>
        </w:rPr>
        <w:t xml:space="preserve">Energy Efficiency in Use:</w:t>
      </w:r>
      <w:r>
        <w:t xml:space="preserve"> </w:t>
      </w:r>
      <w:r>
        <w:t xml:space="preserve">Explore design improvements to reduce the product\'s energy consumption during its use phase, as this is a significant contributor to the overall PCF.</w:t>
      </w:r>
    </w:p>
    <w:p>
      <w:pPr>
        <w:numPr>
          <w:ilvl w:val="0"/>
          <w:numId w:val="1020"/>
        </w:numPr>
        <w:pStyle w:val="Compact"/>
      </w:pPr>
      <w:r>
        <w:rPr>
          <w:bCs/>
          <w:b/>
        </w:rPr>
        <w:t xml:space="preserve">Supply Chain Engagement:</w:t>
      </w:r>
      <w:r>
        <w:t xml:space="preserve"> </w:t>
      </w:r>
      <w:r>
        <w:t xml:space="preserve">Work with suppliers to understand and reduce their emissions, especially for high-impact components.</w:t>
      </w:r>
    </w:p>
    <w:p>
      <w:pPr>
        <w:numPr>
          <w:ilvl w:val="0"/>
          <w:numId w:val="1020"/>
        </w:numPr>
        <w:pStyle w:val="Compact"/>
      </w:pPr>
      <w:r>
        <w:rPr>
          <w:bCs/>
          <w:b/>
        </w:rPr>
        <w:t xml:space="preserve">Logistics Optimization:</w:t>
      </w:r>
      <w:r>
        <w:t xml:space="preserve"> </w:t>
      </w:r>
      <w:r>
        <w:t xml:space="preserve">Optimize transport routes, modes, and vehicle utilization to reduce transportation emissions. Consider localizing supply chains where feasible.</w:t>
      </w:r>
    </w:p>
    <w:p>
      <w:pPr>
        <w:numPr>
          <w:ilvl w:val="0"/>
          <w:numId w:val="1020"/>
        </w:numPr>
        <w:pStyle w:val="Compact"/>
      </w:pPr>
      <w:r>
        <w:rPr>
          <w:bCs/>
          <w:b/>
        </w:rPr>
        <w:t xml:space="preserve">Circular Economy Integration:</w:t>
      </w:r>
      <w:r>
        <w:t xml:space="preserve"> </w:t>
      </w:r>
      <w:r>
        <w:t xml:space="preserve">Continue to strengthen circular programs (take-back, refurbishment, repair) to maximize product lifespan and material recycling, further mitigating end-of-life impacts.</w:t>
      </w:r>
    </w:p>
    <w:p>
      <w:r>
        <w:pict>
          <v:rect style="width:0;height:1.5pt" o:hralign="center" o:hrstd="t" o:hr="t"/>
        </w:pict>
      </w:r>
    </w:p>
    <w:bookmarkEnd w:id="80"/>
    <w:bookmarkEnd w:id="8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ufoexozvdh</dc:title>
  <dc:creator/>
  <dc:description>Detailed Product Carbon Footprint (PCF) analysis report for ufoexozvdh, conducted by ggiohhjesi specializing in GHG Protocol, for company myqrzdozld.</dc:description>
  <dc:language>en</dc:language>
  <cp:keywords/>
  <dcterms:created xsi:type="dcterms:W3CDTF">2026-07-15T07:27:47Z</dcterms:created>
  <dcterms:modified xsi:type="dcterms:W3CDTF">2026-07-15T07:27:47Z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