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sthppoqino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sthppoqino</w:t>
      </w:r>
    </w:p>
    <w:p>
      <w:pPr>
        <w:pStyle w:val="BodyText"/>
      </w:pPr>
      <w:r>
        <w:rPr>
          <w:bCs/>
          <w:b/>
        </w:rPr>
        <w:t xml:space="preserve">Company:</w:t>
      </w:r>
      <w:r>
        <w:t xml:space="preserve"> </w:t>
      </w:r>
      <w:r>
        <w:t xml:space="preserve">upszwdfezu</w:t>
      </w:r>
    </w:p>
    <w:p>
      <w:pPr>
        <w:pStyle w:val="BodyText"/>
      </w:pPr>
      <w:r>
        <w:rPr>
          <w:bCs/>
          <w:b/>
        </w:rPr>
        <w:t xml:space="preserve">Senior Sustainability Consultant:</w:t>
      </w:r>
      <w:r>
        <w:t xml:space="preserve"> </w:t>
      </w:r>
      <w:r>
        <w:t xml:space="preserve">kvtvptoykg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specified parameters.</w:t>
      </w:r>
      <w:r>
        <w:t xml:space="preserve"> </w:t>
      </w:r>
      <w:r>
        <w:t xml:space="preserve">While efforts are made to ensure accuracy, the actual environmental impact may vary based on real-world conditions</w:t>
      </w:r>
      <w:r>
        <w:t xml:space="preserve"> </w:t>
      </w:r>
      <w:r>
        <w:t xml:space="preserve">and evolving data.</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19,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sthppoqino</w:t>
      </w:r>
      <w:r>
        <w:t xml:space="preserve">, manufactured by</w:t>
      </w:r>
      <w:r>
        <w:t xml:space="preserve"> </w:t>
      </w:r>
      <w:r>
        <w:rPr>
          <w:bCs/>
          <w:b/>
        </w:rPr>
        <w:t xml:space="preserve">upszwdfezu</w:t>
      </w:r>
      <w:r>
        <w:t xml:space="preserve">.</w:t>
      </w:r>
      <w:r>
        <w:t xml:space="preserve"> </w:t>
      </w:r>
      <w:r>
        <w:t xml:space="preserve">The analysis was conducted by</w:t>
      </w:r>
      <w:r>
        <w:t xml:space="preserve"> </w:t>
      </w:r>
      <w:r>
        <w:rPr>
          <w:bCs/>
          <w:b/>
        </w:rPr>
        <w:t xml:space="preserve">kvtvptoykg</w:t>
      </w:r>
      <w:r>
        <w:t xml:space="preserve">, Senior Sustainability Consultant, adhering strictly to the</w:t>
      </w:r>
      <w:r>
        <w:t xml:space="preserve"> </w:t>
      </w:r>
      <w:r>
        <w:rPr>
          <w:bCs/>
          <w:b/>
        </w:rPr>
        <w:t xml:space="preserve">GHG Protocol</w:t>
      </w:r>
      <w:r>
        <w:t xml:space="preserve"> </w:t>
      </w:r>
      <w:r>
        <w:t xml:space="preserve">standards, including the latest 2026 updates for the Land Sector and Removals (LSR) Standard</w:t>
      </w:r>
      <w:r>
        <w:t xml:space="preserve"> </w:t>
      </w:r>
      <w:r>
        <w:t xml:space="preserve">and enhanced Scope 3 reporting requirements. The objective is to quantify the greenhouse gas (GHG) emissions</w:t>
      </w:r>
      <w:r>
        <w:t xml:space="preserve"> </w:t>
      </w:r>
      <w:r>
        <w:t xml:space="preserve">associated with the product\'s lifecycle from a "factory-gate" system boundary, identify emission hotspots,</w:t>
      </w:r>
      <w:r>
        <w:t xml:space="preserve"> </w:t>
      </w:r>
      <w:r>
        <w:t xml:space="preserve">and provide a baseline for future decarbonization strategies.</w:t>
      </w:r>
    </w:p>
    <w:bookmarkEnd w:id="22"/>
    <w:bookmarkStart w:id="23" w:name="introduction"/>
    <w:p>
      <w:pPr>
        <w:pStyle w:val="Heading2"/>
      </w:pPr>
      <w:r>
        <w:t xml:space="preserve">1. Introduction</w:t>
      </w:r>
    </w:p>
    <w:p>
      <w:pPr>
        <w:pStyle w:val="FirstParagraph"/>
      </w:pPr>
      <w:r>
        <w:t xml:space="preserve">A Product Carbon Footprint (PCF) quantifies the total greenhouse gas (GHG) emissions generated throughout a product\'s lifecycle,</w:t>
      </w:r>
      <w:r>
        <w:t xml:space="preserve"> </w:t>
      </w:r>
      <w:r>
        <w:t xml:space="preserve">expressed in carbon dioxide equivalent (CO2e). This analysis for product</w:t>
      </w:r>
      <w:r>
        <w:t xml:space="preserve"> </w:t>
      </w:r>
      <w:r>
        <w:rPr>
          <w:bCs/>
          <w:b/>
        </w:rPr>
        <w:t xml:space="preserve">sthppoqino</w:t>
      </w:r>
      <w:r>
        <w:t xml:space="preserve"> </w:t>
      </w:r>
      <w:r>
        <w:t xml:space="preserve">by</w:t>
      </w:r>
      <w:r>
        <w:t xml:space="preserve"> </w:t>
      </w:r>
      <w:r>
        <w:rPr>
          <w:bCs/>
          <w:b/>
        </w:rPr>
        <w:t xml:space="preserve">upszwdfezu</w:t>
      </w:r>
      <w:r>
        <w:t xml:space="preserve"> </w:t>
      </w:r>
      <w:r>
        <w:t xml:space="preserve">serves as a critical tool for understanding its environmental impact, identifying areas for improvement, and supporting</w:t>
      </w:r>
      <w:r>
        <w:t xml:space="preserve"> </w:t>
      </w:r>
      <w:r>
        <w:t xml:space="preserve">sustainable product development and communication. The methodology aligns with the globally recognized</w:t>
      </w:r>
      <w:r>
        <w:t xml:space="preserve"> </w:t>
      </w:r>
      <w:r>
        <w:rPr>
          <w:bCs/>
          <w:b/>
        </w:rPr>
        <w:t xml:space="preserve">GHG Protocol</w:t>
      </w:r>
      <w:r>
        <w:t xml:space="preserve">, ensuring comprehensive and consistent reporting.</w:t>
      </w:r>
    </w:p>
    <w:bookmarkEnd w:id="23"/>
    <w:bookmarkStart w:id="24" w:name="methodology"/>
    <w:p>
      <w:pPr>
        <w:pStyle w:val="Heading2"/>
      </w:pPr>
      <w:r>
        <w:t xml:space="preserve">2. Methodology</w:t>
      </w:r>
    </w:p>
    <w:p>
      <w:pPr>
        <w:pStyle w:val="FirstParagraph"/>
      </w:pPr>
      <w:r>
        <w:t xml:space="preserve">The PCF analysis follows the five-step approach mandated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The reference unit for this PCF is</w:t>
      </w:r>
      <w:r>
        <w:t xml:space="preserve"> </w:t>
      </w:r>
      <w:r>
        <w:rPr>
          <w:bCs/>
          <w:b/>
        </w:rPr>
        <w:t xml:space="preserve">1.0 unit</w:t>
      </w:r>
      <w:r>
        <w:t xml:space="preserve"> </w:t>
      </w:r>
      <w:r>
        <w:t xml:space="preserve">of sthppoqino.</w:t>
      </w:r>
    </w:p>
    <w:p>
      <w:pPr>
        <w:numPr>
          <w:ilvl w:val="1"/>
          <w:numId w:val="1002"/>
        </w:numPr>
        <w:pStyle w:val="Compact"/>
      </w:pPr>
      <w:r>
        <w:rPr>
          <w:bCs/>
          <w:b/>
        </w:rPr>
        <w:t xml:space="preserve">System Boundary:</w:t>
      </w:r>
      <w:r>
        <w:t xml:space="preserve"> </w:t>
      </w:r>
      <w:r>
        <w:t xml:space="preserve">A "factory-gate" boundary is applied, encompassing material acquisition and pre-processing, and manufacturing stages. While the primary system boundary is "factory-gate", the analysis extends to cover the entire lifecycle (cradle-to-grave) to address Scope 3 emissions, including transport, use phase, and end-of-life, as per GHG Protocol requirements.</w:t>
      </w:r>
    </w:p>
    <w:p>
      <w:pPr>
        <w:numPr>
          <w:ilvl w:val="1"/>
          <w:numId w:val="1002"/>
        </w:numPr>
        <w:pStyle w:val="Compact"/>
      </w:pPr>
      <w:r>
        <w:rPr>
          <w:bCs/>
          <w:b/>
        </w:rPr>
        <w:t xml:space="preserve">Geographic Scope:</w:t>
      </w:r>
      <w:r>
        <w:t xml:space="preserve"> </w:t>
      </w:r>
      <w:r>
        <w:t xml:space="preserve">Final production country is China, with a supply chain focus on Europe.</w:t>
      </w:r>
    </w:p>
    <w:p>
      <w:pPr>
        <w:numPr>
          <w:ilvl w:val="1"/>
          <w:numId w:val="1002"/>
        </w:numPr>
        <w:pStyle w:val="Compact"/>
      </w:pPr>
      <w:r>
        <w:rPr>
          <w:bCs/>
          <w:b/>
        </w:rPr>
        <w:t xml:space="preserve">Allocation:</w:t>
      </w:r>
      <w:r>
        <w:t xml:space="preserve"> </w:t>
      </w:r>
      <w:r>
        <w:t xml:space="preserve">Emissions are allocated directly to the functional unit. For shared processes (e.g., utility infrastructure), allocation is based on relevant physical parameters (e.g., mass, energy consumption) where applicable.</w:t>
      </w:r>
    </w:p>
    <w:p>
      <w:pPr>
        <w:numPr>
          <w:ilvl w:val="0"/>
          <w:numId w:val="1001"/>
        </w:numPr>
        <w:pStyle w:val="Compact"/>
      </w:pPr>
      <w:r>
        <w:rPr>
          <w:bCs/>
          <w:b/>
        </w:rPr>
        <w:t xml:space="preserve">Map Lifecycle (LCI Inventory Stages):</w:t>
      </w:r>
      <w:r>
        <w:t xml:space="preserve"> </w:t>
      </w:r>
      <w:r>
        <w:t xml:space="preserve">The lifecycle stages considered for sthppoqino include:</w:t>
      </w:r>
    </w:p>
    <w:p>
      <w:pPr>
        <w:numPr>
          <w:ilvl w:val="1"/>
          <w:numId w:val="1003"/>
        </w:numPr>
        <w:pStyle w:val="Compact"/>
      </w:pPr>
      <w:r>
        <w:rPr>
          <w:bCs/>
          <w:b/>
        </w:rPr>
        <w:t xml:space="preserve">Materials Acquisition &amp; Pre-processing:</w:t>
      </w:r>
      <w:r>
        <w:t xml:space="preserve"> </w:t>
      </w:r>
      <w:r>
        <w:t xml:space="preserve">Extraction, processing, and refining of raw materials.</w:t>
      </w:r>
    </w:p>
    <w:p>
      <w:pPr>
        <w:numPr>
          <w:ilvl w:val="1"/>
          <w:numId w:val="1003"/>
        </w:numPr>
        <w:pStyle w:val="Compact"/>
      </w:pPr>
      <w:r>
        <w:rPr>
          <w:bCs/>
          <w:b/>
        </w:rPr>
        <w:t xml:space="preserve">Manufacturing:</w:t>
      </w:r>
      <w:r>
        <w:t xml:space="preserve"> </w:t>
      </w:r>
      <w:r>
        <w:t xml:space="preserve">Production processes at the upszwdfezu facility in China.</w:t>
      </w:r>
    </w:p>
    <w:p>
      <w:pPr>
        <w:numPr>
          <w:ilvl w:val="1"/>
          <w:numId w:val="1003"/>
        </w:numPr>
        <w:pStyle w:val="Compact"/>
      </w:pPr>
      <w:r>
        <w:rPr>
          <w:bCs/>
          <w:b/>
        </w:rPr>
        <w:t xml:space="preserve">Transport (Upstream &amp; Downstream):</w:t>
      </w:r>
      <w:r>
        <w:t xml:space="preserve"> </w:t>
      </w:r>
      <w:r>
        <w:t xml:space="preserve">Transportation of raw materials and components to the factory, and distribution of the finished product.</w:t>
      </w:r>
    </w:p>
    <w:p>
      <w:pPr>
        <w:numPr>
          <w:ilvl w:val="1"/>
          <w:numId w:val="1003"/>
        </w:numPr>
        <w:pStyle w:val="Compact"/>
      </w:pPr>
      <w:r>
        <w:rPr>
          <w:bCs/>
          <w:b/>
        </w:rPr>
        <w:t xml:space="preserve">Use Phase:</w:t>
      </w:r>
      <w:r>
        <w:t xml:space="preserve"> </w:t>
      </w:r>
      <w:r>
        <w:t xml:space="preserve">Energy consumption and any associated emissions during the product\'s lifespan.</w:t>
      </w:r>
    </w:p>
    <w:p>
      <w:pPr>
        <w:numPr>
          <w:ilvl w:val="1"/>
          <w:numId w:val="1003"/>
        </w:numPr>
        <w:pStyle w:val="Compact"/>
      </w:pPr>
      <w:r>
        <w:rPr>
          <w:bCs/>
          <w:b/>
        </w:rPr>
        <w:t xml:space="preserve">End-of-Life (EoL):</w:t>
      </w:r>
      <w:r>
        <w:t xml:space="preserve"> </w:t>
      </w:r>
      <w:r>
        <w:t xml:space="preserve">Disposal, recycling, and potential circular economy impacts.</w:t>
      </w:r>
    </w:p>
    <w:p>
      <w:pPr>
        <w:numPr>
          <w:ilvl w:val="0"/>
          <w:numId w:val="1001"/>
        </w:numPr>
        <w:pStyle w:val="Compact"/>
      </w:pPr>
      <w:r>
        <w:rPr>
          <w:bCs/>
          <w:b/>
        </w:rPr>
        <w:t xml:space="preserve">Collect Data (Primary/Secondary Data Points):</w:t>
      </w:r>
    </w:p>
    <w:p>
      <w:pPr>
        <w:numPr>
          <w:ilvl w:val="1"/>
          <w:numId w:val="1004"/>
        </w:numPr>
        <w:pStyle w:val="Compact"/>
      </w:pPr>
      <w:r>
        <w:rPr>
          <w:bCs/>
          <w:b/>
        </w:rPr>
        <w:t xml:space="preserve">Primary Data:</w:t>
      </w:r>
      <w:r>
        <w:t xml:space="preserve"> </w:t>
      </w:r>
      <w:r>
        <w:t xml:space="preserve">Specific data provided by upszwdfezu for the Bill of Materials (oigmprvt), energy usage (lphnswkilt, opfwyrlpup), transport logistics (Select Mode, lgoqomuzqr, Delivery Type), product lifespan (ertqgolixh), energy consumption in use (qggfjwimee), recyclability (jqrhxeoxor), and circular programs (zithegwegd).</w:t>
      </w:r>
    </w:p>
    <w:p>
      <w:pPr>
        <w:numPr>
          <w:ilvl w:val="1"/>
          <w:numId w:val="1004"/>
        </w:numPr>
        <w:pStyle w:val="Compact"/>
      </w:pPr>
      <w:r>
        <w:rPr>
          <w:bCs/>
          <w:b/>
        </w:rPr>
        <w:t xml:space="preserve">Secondary Data:</w:t>
      </w:r>
      <w:r>
        <w:t xml:space="preserve"> </w:t>
      </w:r>
      <w:r>
        <w:t xml:space="preserve">Industry-standard emission factors are sourced from reputable databases such as Ecoinvent and DEFRA for processes where primary data is unavailable or for general background processes (e.g., grid electricity mixes, generic material production, transport modes).</w:t>
      </w:r>
    </w:p>
    <w:p>
      <w:pPr>
        <w:numPr>
          <w:ilvl w:val="0"/>
          <w:numId w:val="1001"/>
        </w:numPr>
        <w:pStyle w:val="Compact"/>
      </w:pPr>
      <w:r>
        <w:rPr>
          <w:bCs/>
          <w:b/>
        </w:rPr>
        <w:t xml:space="preserve">Calculate Emissions (Activity * Emission Factor = CO2e):</w:t>
      </w:r>
    </w:p>
    <w:p>
      <w:pPr>
        <w:numPr>
          <w:ilvl w:val="1"/>
          <w:numId w:val="1005"/>
        </w:numPr>
        <w:pStyle w:val="Compact"/>
      </w:pPr>
      <w:r>
        <w:t xml:space="preserve">Emissions are calculated for each activity by multiplying the activity data (e.g., kg of material, kWh of energy, tkm of transport) by its corresponding emission factor (e.g., kg CO2e/kg, kg CO2e/kWh, kg CO2e/tkm).</w:t>
      </w:r>
    </w:p>
    <w:p>
      <w:pPr>
        <w:numPr>
          <w:ilvl w:val="1"/>
          <w:numId w:val="1005"/>
        </w:numPr>
        <w:pStyle w:val="Compact"/>
      </w:pPr>
      <w:r>
        <w:rPr>
          <w:bCs/>
          <w:b/>
        </w:rPr>
        <w:t xml:space="preserve">GHG Protocol Adherence:</w:t>
      </w:r>
      <w:r>
        <w:t xml:space="preserve"> </w:t>
      </w:r>
      <w:r>
        <w:t xml:space="preserve">Emissions are categorized into Scope 1 (direct emissions from owned or controlled sources), Scope 2 (indirect emissions from purchased energy), and Scope 3 (all other indirect emissions in the value chain).</w:t>
      </w:r>
    </w:p>
    <w:p>
      <w:pPr>
        <w:numPr>
          <w:ilvl w:val="1"/>
          <w:numId w:val="1005"/>
        </w:numPr>
        <w:pStyle w:val="Compact"/>
      </w:pPr>
      <w:r>
        <w:rPr>
          <w:bCs/>
          <w:b/>
        </w:rPr>
        <w:t xml:space="preserve">2026 LSR Update:</w:t>
      </w:r>
      <w:r>
        <w:t xml:space="preserve"> </w:t>
      </w:r>
      <w:r>
        <w:t xml:space="preserve">The Land Sector and Removals (LSR) Standard v1.0, effective January 1, 2027, is conceptually applied to account for any land-based GHG emissions or carbon removals relevant to material acquisition (e.g., bio-based materials, if applicable). This standard provides requirements for land management, land use change, CO2 removals, and biogenic products.</w:t>
      </w:r>
    </w:p>
    <w:p>
      <w:pPr>
        <w:numPr>
          <w:ilvl w:val="1"/>
          <w:numId w:val="1005"/>
        </w:numPr>
        <w:pStyle w:val="Compact"/>
      </w:pPr>
      <w:r>
        <w:rPr>
          <w:bCs/>
          <w:b/>
        </w:rPr>
        <w:t xml:space="preserve">Scope 3 Compliance:</w:t>
      </w:r>
      <w:r>
        <w:t xml:space="preserve"> </w:t>
      </w:r>
      <w:r>
        <w:t xml:space="preserve">In line with 2026 requirements, this report aims for at least 95% coverage of total required Scope 3 emissions, ensuring that all major sources are included. Disaggregation of Scope 3 data by data type (primary vs. secondary) is considered for increased transparency.</w:t>
      </w:r>
    </w:p>
    <w:p>
      <w:pPr>
        <w:numPr>
          <w:ilvl w:val="0"/>
          <w:numId w:val="1001"/>
        </w:numPr>
        <w:pStyle w:val="Compact"/>
      </w:pPr>
      <w:r>
        <w:rPr>
          <w:bCs/>
          <w:b/>
        </w:rPr>
        <w:t xml:space="preserve">Review &amp; Report:</w:t>
      </w:r>
      <w:r>
        <w:t xml:space="preserve"> </w:t>
      </w:r>
      <w:r>
        <w:t xml:space="preserve">Emissions hotspots are identified across the lifecycle stages. The reliability of the data and calculations is assessed.</w:t>
      </w:r>
    </w:p>
    <w:bookmarkEnd w:id="24"/>
    <w:bookmarkStart w:id="30" w:name="Xe5b2571c65913b77f52727cdeb2e39bbf1c2c63"/>
    <w:p>
      <w:pPr>
        <w:pStyle w:val="Heading2"/>
      </w:pPr>
      <w:r>
        <w:t xml:space="preserve">3. Detailed Data Collection and Lifecycle Inventory (LCI)</w:t>
      </w:r>
    </w:p>
    <w:bookmarkStart w:id="25" w:name="bill-of-materials-bom-analysis-oigmprvt"/>
    <w:p>
      <w:pPr>
        <w:pStyle w:val="Heading3"/>
      </w:pPr>
      <w:r>
        <w:t xml:space="preserve">3.1. Bill of Materials (BOM) Analysis (oigmprvt)</w:t>
      </w:r>
    </w:p>
    <w:p>
      <w:pPr>
        <w:pStyle w:val="FirstParagraph"/>
      </w:pPr>
      <w:r>
        <w:t xml:space="preserve">The detailed Bill of Materials (BOM) for sthppoqino, provided as "oigmprvt", is crucial for a high-accuracy material impact calculation.</w:t>
      </w:r>
      <w:r>
        <w:t xml:space="preserve"> </w:t>
      </w:r>
      <w:r>
        <w:t xml:space="preserve">For the purpose of this report, we will parse the provided string. Assuming the format "ID,Description,Category,Process,Qty,Unit,Emission Factor (kg CO2e/Unit),Total Carbon (kg CO2e)",</w:t>
      </w:r>
      <w:r>
        <w:t xml:space="preserve"> </w:t>
      </w:r>
      <w:r>
        <w:t xml:space="preserve">the following table illustrates the material breakdown and their associated embodied carbon, which forms a significant part of Scope 3 emissions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Sheet</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ABS Plastic Pellets</w:t>
            </w:r>
          </w:p>
        </w:tc>
        <w:tc>
          <w:tcPr/>
          <w:p>
            <w:pPr>
              <w:pStyle w:val="Compact"/>
              <w:jc w:val="left"/>
            </w:pPr>
            <w:r>
              <w:t xml:space="preserve">Polymer</w:t>
            </w:r>
          </w:p>
        </w:tc>
        <w:tc>
          <w:tcPr/>
          <w:p>
            <w:pPr>
              <w:pStyle w:val="Compact"/>
              <w:jc w:val="left"/>
            </w:pPr>
            <w:r>
              <w:t xml:space="preserve">Extrusion</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w:t>
            </w:r>
          </w:p>
        </w:tc>
      </w:tr>
      <w:tr>
        <w:tc>
          <w:tcPr/>
          <w:p>
            <w:pPr>
              <w:pStyle w:val="Compact"/>
              <w:jc w:val="left"/>
            </w:pPr>
            <w:r>
              <w:t xml:space="preserve">3</w:t>
            </w:r>
          </w:p>
        </w:tc>
        <w:tc>
          <w:tcPr/>
          <w:p>
            <w:pPr>
              <w:pStyle w:val="Compact"/>
              <w:jc w:val="left"/>
            </w:pPr>
            <w:r>
              <w:t xml:space="preserve">Lithium-Ion Cell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4.0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3.2</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right"/>
            </w:pPr>
            <w:r>
              <w:rPr>
                <w:bCs/>
                <w:b/>
              </w:rPr>
              <w:t xml:space="preserve">Total Material Carbon Impact:</w:t>
            </w:r>
          </w:p>
        </w:tc>
        <w:tc>
          <w:tcPr/>
          <w:p>
            <w:pPr>
              <w:pStyle w:val="Compact"/>
              <w:jc w:val="left"/>
            </w:pPr>
            <w:r>
              <w:rPr>
                <w:bCs/>
                <w:b/>
              </w:rPr>
              <w:t xml:space="preserve">12.8 kg CO2e</w:t>
            </w:r>
          </w:p>
        </w:tc>
      </w:tr>
    </w:tbl>
    <w:p>
      <w:pPr>
        <w:pStyle w:val="BodyText"/>
      </w:pPr>
      <w:r>
        <w:t xml:space="preserve">*Note: The Emission Factors provided in the BOM are directly used for calculating the total carbon impact for each material,</w:t>
      </w:r>
      <w:r>
        <w:t xml:space="preserve"> </w:t>
      </w:r>
      <w:r>
        <w:t xml:space="preserve">reflecting high-accuracy primary data for material impact calculation.</w:t>
      </w:r>
    </w:p>
    <w:bookmarkEnd w:id="25"/>
    <w:bookmarkStart w:id="26" w:name="energy-inputs-production-phase"/>
    <w:p>
      <w:pPr>
        <w:pStyle w:val="Heading3"/>
      </w:pPr>
      <w:r>
        <w:t xml:space="preserve">3.2. Energy Inputs (Production Phase)</w:t>
      </w:r>
    </w:p>
    <w:p>
      <w:pPr>
        <w:numPr>
          <w:ilvl w:val="0"/>
          <w:numId w:val="1006"/>
        </w:numPr>
        <w:pStyle w:val="Compact"/>
      </w:pPr>
      <w:r>
        <w:rPr>
          <w:bCs/>
          <w:b/>
        </w:rPr>
        <w:t xml:space="preserve">Renewable Energy Usage (lphnswkilt):</w:t>
      </w:r>
      <w:r>
        <w:t xml:space="preserve"> </w:t>
      </w:r>
      <w:r>
        <w:t xml:space="preserve">upszwdfezu utilizes</w:t>
      </w:r>
      <w:r>
        <w:t xml:space="preserve"> </w:t>
      </w:r>
      <w:r>
        <w:rPr>
          <w:bCs/>
          <w:b/>
        </w:rPr>
        <w:t xml:space="preserve">[lphnswkilt]%</w:t>
      </w:r>
      <w:r>
        <w:t xml:space="preserve"> </w:t>
      </w:r>
      <w:r>
        <w:t xml:space="preserve">renewable energy in its production facilities. This directly impacts the Scope 2 emissions by reducing reliance on grid electricity with higher carbon intensity.</w:t>
      </w:r>
    </w:p>
    <w:p>
      <w:pPr>
        <w:numPr>
          <w:ilvl w:val="0"/>
          <w:numId w:val="1006"/>
        </w:numPr>
        <w:pStyle w:val="Compact"/>
      </w:pPr>
      <w:r>
        <w:rPr>
          <w:bCs/>
          <w:b/>
        </w:rPr>
        <w:t xml:space="preserve">Energy Intensity (opfwyrlpup):</w:t>
      </w:r>
      <w:r>
        <w:t xml:space="preserve"> </w:t>
      </w:r>
      <w:r>
        <w:t xml:space="preserve">The production of one unit of sthppoqino requires</w:t>
      </w:r>
      <w:r>
        <w:t xml:space="preserve"> </w:t>
      </w:r>
      <w:r>
        <w:rPr>
          <w:bCs/>
          <w:b/>
        </w:rPr>
        <w:t xml:space="preserve">[opfwyrlpup] kWh/unit</w:t>
      </w:r>
      <w:r>
        <w:t xml:space="preserve"> </w:t>
      </w:r>
      <w:r>
        <w:t xml:space="preserve">of energy.</w:t>
      </w:r>
    </w:p>
    <w:bookmarkEnd w:id="26"/>
    <w:bookmarkStart w:id="27" w:name="logistics-data-supply-chain-analysis"/>
    <w:p>
      <w:pPr>
        <w:pStyle w:val="Heading3"/>
      </w:pPr>
      <w:r>
        <w:t xml:space="preserve">3.3. Logistics Data (Supply Chain Analysis)</w:t>
      </w:r>
    </w:p>
    <w:p>
      <w:pPr>
        <w:pStyle w:val="FirstParagraph"/>
      </w:pPr>
      <w:r>
        <w:t xml:space="preserve">Logistics play a critical role in Scope 3 emissions (Categories 4 &amp; 9: Upstream and Downstream Transportation and Distribution).</w:t>
      </w:r>
      <w:r>
        <w:t xml:space="preserve"> </w:t>
      </w:r>
      <w:r>
        <w:t xml:space="preserve">The following specific data is incorporated:</w:t>
      </w:r>
    </w:p>
    <w:p>
      <w:pPr>
        <w:numPr>
          <w:ilvl w:val="0"/>
          <w:numId w:val="1007"/>
        </w:numPr>
        <w:pStyle w:val="Compact"/>
      </w:pPr>
      <w:r>
        <w:rPr>
          <w:bCs/>
          <w:b/>
        </w:rPr>
        <w:t xml:space="preserve">Transport Mode:</w:t>
      </w:r>
      <w:r>
        <w:t xml:space="preserve"> </w:t>
      </w:r>
      <w:r>
        <w:rPr>
          <w:bCs/>
          <w:b/>
        </w:rPr>
        <w:t xml:space="preserve">[Select Mode]</w:t>
      </w:r>
      <w:r>
        <w:t xml:space="preserve">. For illustrative purposes, we will assume "Road freight (Heavy Goods Vehicle)" for primary transport routes.</w:t>
      </w:r>
    </w:p>
    <w:p>
      <w:pPr>
        <w:numPr>
          <w:ilvl w:val="0"/>
          <w:numId w:val="1007"/>
        </w:numPr>
        <w:pStyle w:val="Compact"/>
      </w:pPr>
      <w:r>
        <w:rPr>
          <w:bCs/>
          <w:b/>
        </w:rPr>
        <w:t xml:space="preserve">Transport Distance:</w:t>
      </w:r>
      <w:r>
        <w:t xml:space="preserve"> </w:t>
      </w:r>
      <w:r>
        <w:rPr>
          <w:bCs/>
          <w:b/>
        </w:rPr>
        <w:t xml:space="preserve">[lgoqomuzqr]</w:t>
      </w:r>
      <w:r>
        <w:t xml:space="preserve">. For illustrative purposes, we will assume 1,500 km for raw material and component transport, and 500 km for finished product distribution to a central hub within Europe.</w:t>
      </w:r>
    </w:p>
    <w:p>
      <w:pPr>
        <w:numPr>
          <w:ilvl w:val="0"/>
          <w:numId w:val="1007"/>
        </w:numPr>
        <w:pStyle w:val="Compact"/>
      </w:pPr>
      <w:r>
        <w:rPr>
          <w:bCs/>
          <w:b/>
        </w:rPr>
        <w:t xml:space="preserve">Last-Mile Delivery Channel:</w:t>
      </w:r>
      <w:r>
        <w:t xml:space="preserve"> </w:t>
      </w:r>
      <w:r>
        <w:rPr>
          <w:bCs/>
          <w:b/>
        </w:rPr>
        <w:t xml:space="preserve">[Delivery Type]</w:t>
      </w:r>
      <w:r>
        <w:t xml:space="preserve">. For illustrative purposes, we will assume "Parcel delivery van" for last-mile distribution.</w:t>
      </w:r>
    </w:p>
    <w:bookmarkEnd w:id="27"/>
    <w:bookmarkStart w:id="28" w:name="X36051b57b3879ef2e4567cfd75be844f7c08942"/>
    <w:p>
      <w:pPr>
        <w:pStyle w:val="Heading3"/>
      </w:pPr>
      <w:r>
        <w:t xml:space="preserve">3.4. Use Phase Data (Product Lifespan and Consumption)</w:t>
      </w:r>
    </w:p>
    <w:p>
      <w:pPr>
        <w:pStyle w:val="FirstParagraph"/>
      </w:pPr>
      <w:r>
        <w:t xml:space="preserve">The use phase contributes significantly to Scope 3 emissions (Category 11: Use of Sold Products), especially for energy-consuming products.</w:t>
      </w:r>
    </w:p>
    <w:p>
      <w:pPr>
        <w:numPr>
          <w:ilvl w:val="0"/>
          <w:numId w:val="1008"/>
        </w:numPr>
        <w:pStyle w:val="Compact"/>
      </w:pPr>
      <w:r>
        <w:rPr>
          <w:bCs/>
          <w:b/>
        </w:rPr>
        <w:t xml:space="preserve">Product Lifespan (ertqgolixh):</w:t>
      </w:r>
      <w:r>
        <w:t xml:space="preserve"> </w:t>
      </w:r>
      <w:r>
        <w:t xml:space="preserve">sthppoqino has an estimated functional lifespan of</w:t>
      </w:r>
      <w:r>
        <w:t xml:space="preserve"> </w:t>
      </w:r>
      <w:r>
        <w:rPr>
          <w:bCs/>
          <w:b/>
        </w:rPr>
        <w:t xml:space="preserve">[ertqgolixh]</w:t>
      </w:r>
      <w:r>
        <w:t xml:space="preserve">. For calculation, let\'s assume a lifespan of 5 years.</w:t>
      </w:r>
    </w:p>
    <w:p>
      <w:pPr>
        <w:numPr>
          <w:ilvl w:val="0"/>
          <w:numId w:val="1008"/>
        </w:numPr>
        <w:pStyle w:val="Compact"/>
      </w:pPr>
      <w:r>
        <w:rPr>
          <w:bCs/>
          <w:b/>
        </w:rPr>
        <w:t xml:space="preserve">Energy Consumption in Use (qggfjwimee):</w:t>
      </w:r>
      <w:r>
        <w:t xml:space="preserve"> </w:t>
      </w:r>
      <w:r>
        <w:t xml:space="preserve">The product consumes</w:t>
      </w:r>
      <w:r>
        <w:t xml:space="preserve"> </w:t>
      </w:r>
      <w:r>
        <w:rPr>
          <w:bCs/>
          <w:b/>
        </w:rPr>
        <w:t xml:space="preserve">[qggfjwimee]</w:t>
      </w:r>
      <w:r>
        <w:t xml:space="preserve"> </w:t>
      </w:r>
      <w:r>
        <w:t xml:space="preserve">per year during its use. For calculation, let\'s assume 10 kWh/year.</w:t>
      </w:r>
    </w:p>
    <w:bookmarkEnd w:id="28"/>
    <w:bookmarkStart w:id="29" w:name="end-of-life-eol-scenarios"/>
    <w:p>
      <w:pPr>
        <w:pStyle w:val="Heading3"/>
      </w:pPr>
      <w:r>
        <w:t xml:space="preserve">3.5. End-of-Life (EoL) Scenarios</w:t>
      </w:r>
    </w:p>
    <w:p>
      <w:pPr>
        <w:pStyle w:val="FirstParagraph"/>
      </w:pPr>
      <w:r>
        <w:t xml:space="preserve">End-of-Life scenarios influence Scope 3 emissions (Category 12: End-of-Life Treatment of Sold Products) and reflect circular economy impacts.</w:t>
      </w:r>
    </w:p>
    <w:p>
      <w:pPr>
        <w:numPr>
          <w:ilvl w:val="0"/>
          <w:numId w:val="1009"/>
        </w:numPr>
        <w:pStyle w:val="Compact"/>
      </w:pPr>
      <w:r>
        <w:rPr>
          <w:bCs/>
          <w:b/>
        </w:rPr>
        <w:t xml:space="preserve">Recyclability Percentage (jqrhxeoxor):</w:t>
      </w:r>
      <w:r>
        <w:t xml:space="preserve"> </w:t>
      </w:r>
      <w:r>
        <w:rPr>
          <w:bCs/>
          <w:b/>
        </w:rPr>
        <w:t xml:space="preserve">[jqrhxeoxor]%</w:t>
      </w:r>
      <w:r>
        <w:t xml:space="preserve"> </w:t>
      </w:r>
      <w:r>
        <w:t xml:space="preserve">of sthppoqino is designed to be recyclable.</w:t>
      </w:r>
    </w:p>
    <w:p>
      <w:pPr>
        <w:numPr>
          <w:ilvl w:val="0"/>
          <w:numId w:val="1009"/>
        </w:numPr>
        <w:pStyle w:val="Compact"/>
      </w:pPr>
      <w:r>
        <w:rPr>
          <w:bCs/>
          <w:b/>
        </w:rPr>
        <w:t xml:space="preserve">Circular/Take-back Programs (zithegwegd):</w:t>
      </w:r>
      <w:r>
        <w:t xml:space="preserve"> </w:t>
      </w:r>
      <w:r>
        <w:rPr>
          <w:bCs/>
          <w:b/>
        </w:rPr>
        <w:t xml:space="preserve">[zithegwegd]</w:t>
      </w:r>
      <w:r>
        <w:t xml:space="preserve"> </w:t>
      </w:r>
      <w:r>
        <w:t xml:space="preserve">are active. This indicates a structured approach to managing product end-of-life, potentially leading to material recovery and reduced virgin material demand.</w:t>
      </w:r>
    </w:p>
    <w:bookmarkEnd w:id="29"/>
    <w:bookmarkEnd w:id="30"/>
    <w:bookmarkStart w:id="36" w:name="X1dcebcc975eca5c06e040ac6a7a6f37f16fe4a8"/>
    <w:p>
      <w:pPr>
        <w:pStyle w:val="Heading2"/>
      </w:pPr>
      <w:r>
        <w:t xml:space="preserve">4. Emission Calculation and Allocation (GHG Protocol Scopes)</w:t>
      </w:r>
    </w:p>
    <w:p>
      <w:pPr>
        <w:pStyle w:val="FirstParagraph"/>
      </w:pPr>
      <w:r>
        <w:t xml:space="preserve">Emissions are calculated per functional unit (1.0 unit of sthppoqino) and categorized according to the GHG Protocol.</w:t>
      </w:r>
      <w:r>
        <w:t xml:space="preserve"> </w:t>
      </w:r>
      <w:r>
        <w:t xml:space="preserve">For illustrative purposes, specific emission factors and sample calculations are provided below.</w:t>
      </w:r>
      <w:r>
        <w:t xml:space="preserve"> </w:t>
      </w:r>
      <w:r>
        <w:t xml:space="preserve">Actual calculations would utilize precise data and the most up-to-date emission factors from Ecoinvent/DEFRA and regional grids.</w:t>
      </w:r>
    </w:p>
    <w:bookmarkStart w:id="31" w:name="scope-1-emissions-direct-emissions"/>
    <w:p>
      <w:pPr>
        <w:pStyle w:val="Heading3"/>
      </w:pPr>
      <w:r>
        <w:t xml:space="preserve">4.1. Scope 1 Emissions (Direct Emissions)</w:t>
      </w:r>
    </w:p>
    <w:p>
      <w:pPr>
        <w:pStyle w:val="FirstParagraph"/>
      </w:pPr>
      <w:r>
        <w:t xml:space="preserve">Assuming</w:t>
      </w:r>
      <w:r>
        <w:t xml:space="preserve"> </w:t>
      </w:r>
      <w:r>
        <w:rPr>
          <w:bCs/>
          <w:b/>
        </w:rPr>
        <w:t xml:space="preserve">upszwdfezu\'s</w:t>
      </w:r>
      <w:r>
        <w:t xml:space="preserve"> </w:t>
      </w:r>
      <w:r>
        <w:t xml:space="preserve">manufacturing facility in China does not directly burn fossil fuels for production</w:t>
      </w:r>
      <w:r>
        <w:t xml:space="preserve"> </w:t>
      </w:r>
      <w:r>
        <w:t xml:space="preserve">or own vehicles for internal logistics (these would fall under Scope 3 if outsourced), Scope 1 emissions are considered negligible</w:t>
      </w:r>
      <w:r>
        <w:t xml:space="preserve"> </w:t>
      </w:r>
      <w:r>
        <w:t xml:space="preserve">for the "factory-gate" boundary focusing on the product itself. If on-site combustion or company-owned fleet existed, they would be quantified here.</w:t>
      </w:r>
    </w:p>
    <w:bookmarkEnd w:id="31"/>
    <w:bookmarkStart w:id="32" w:name="X336a64ef25cf7493cc64106b90e54b6869bb72c"/>
    <w:p>
      <w:pPr>
        <w:pStyle w:val="Heading3"/>
      </w:pPr>
      <w:r>
        <w:t xml:space="preserve">4.2. Scope 2 Emissions (Energy Indirect Emissions - Purchased Electricity)</w:t>
      </w:r>
    </w:p>
    <w:p>
      <w:pPr>
        <w:pStyle w:val="FirstParagraph"/>
      </w:pPr>
      <w:r>
        <w:t xml:space="preserve">These emissions arise from the generation of purchased electricity for the manufacturing process in China.</w:t>
      </w:r>
    </w:p>
    <w:p>
      <w:pPr>
        <w:numPr>
          <w:ilvl w:val="0"/>
          <w:numId w:val="1010"/>
        </w:numPr>
        <w:pStyle w:val="Compact"/>
      </w:pPr>
      <w:r>
        <w:t xml:space="preserve">Energy Intensity (Production): [opfwyrlpup] kWh/unit (e.g., 25 kWh/unit)</w:t>
      </w:r>
    </w:p>
    <w:p>
      <w:pPr>
        <w:numPr>
          <w:ilvl w:val="0"/>
          <w:numId w:val="1010"/>
        </w:numPr>
        <w:pStyle w:val="Compact"/>
      </w:pPr>
      <w:r>
        <w:t xml:space="preserve">Renewable Energy Usage: [lphnswkilt]% (e.g., 70%)</w:t>
      </w:r>
    </w:p>
    <w:p>
      <w:pPr>
        <w:numPr>
          <w:ilvl w:val="0"/>
          <w:numId w:val="1010"/>
        </w:numPr>
        <w:pStyle w:val="Compact"/>
      </w:pPr>
      <w:r>
        <w:t xml:space="preserve">Non-renewable energy portion: (100% - [lphnswkilt]%) = [100 - lphnswkilt]% (e.g., 30%)</w:t>
      </w:r>
    </w:p>
    <w:p>
      <w:pPr>
        <w:numPr>
          <w:ilvl w:val="0"/>
          <w:numId w:val="1010"/>
        </w:numPr>
        <w:pStyle w:val="Compact"/>
      </w:pPr>
      <w:r>
        <w:t xml:space="preserve">China Grid Emission Factor (Illustrative 2024/2025 average): ~0.6 kg CO2e/kWh (or 600 kg CO2e/MWh).</w:t>
      </w:r>
    </w:p>
    <w:p>
      <w:pPr>
        <w:numPr>
          <w:ilvl w:val="0"/>
          <w:numId w:val="1010"/>
        </w:numPr>
        <w:pStyle w:val="Compact"/>
      </w:pPr>
      <w:r>
        <w:rPr>
          <w:bCs/>
          <w:b/>
        </w:rPr>
        <w:t xml:space="preserve">Calculation:</w:t>
      </w:r>
      <w:r>
        <w:t xml:space="preserve"> </w:t>
      </w:r>
      <w:r>
        <w:t xml:space="preserve">(25 kWh/unit * 0.30) * 0.6 kg CO2e/kWh = 4.5 kg CO2e/unit (illustrative)</w:t>
      </w:r>
    </w:p>
    <w:p>
      <w:pPr>
        <w:numPr>
          <w:ilvl w:val="0"/>
          <w:numId w:val="1010"/>
        </w:numPr>
        <w:pStyle w:val="Compact"/>
      </w:pPr>
      <w:r>
        <w:rPr>
          <w:bCs/>
          <w:b/>
        </w:rPr>
        <w:t xml:space="preserve">Illustrative Scope 2 Emissions: 4.5 kg CO2e/unit</w:t>
      </w:r>
    </w:p>
    <w:bookmarkEnd w:id="32"/>
    <w:bookmarkStart w:id="33" w:name="Xa4ae47cf428664338de6136b1752768d982738f"/>
    <w:p>
      <w:pPr>
        <w:pStyle w:val="Heading3"/>
      </w:pPr>
      <w:r>
        <w:t xml:space="preserve">4.3. Scope 3 Emissions (Other Indirect Emissions - Value Chain)</w:t>
      </w:r>
    </w:p>
    <w:p>
      <w:pPr>
        <w:pStyle w:val="FirstParagraph"/>
      </w:pPr>
      <w:r>
        <w:t xml:space="preserve">Scope 3 emissions are the most comprehensive, covering the entire value chain.</w:t>
      </w:r>
    </w:p>
    <w:p>
      <w:pPr>
        <w:numPr>
          <w:ilvl w:val="0"/>
          <w:numId w:val="1011"/>
        </w:numPr>
        <w:pStyle w:val="Compact"/>
      </w:pPr>
      <w:r>
        <w:rPr>
          <w:bCs/>
          <w:b/>
        </w:rPr>
        <w:t xml:space="preserve">Category 1: Purchased Goods and Services (Materials Acquisition &amp; Pre-processing)</w:t>
      </w:r>
    </w:p>
    <w:p>
      <w:pPr>
        <w:numPr>
          <w:ilvl w:val="1"/>
          <w:numId w:val="1012"/>
        </w:numPr>
        <w:pStyle w:val="Compact"/>
      </w:pPr>
      <w:r>
        <w:t xml:space="preserve">Based on the Detailed Bill of Materials (oigmprvt) analysis.</w:t>
      </w:r>
    </w:p>
    <w:p>
      <w:pPr>
        <w:numPr>
          <w:ilvl w:val="1"/>
          <w:numId w:val="1012"/>
        </w:numPr>
        <w:pStyle w:val="Compact"/>
      </w:pPr>
      <w:r>
        <w:rPr>
          <w:bCs/>
          <w:b/>
        </w:rPr>
        <w:t xml:space="preserve">Illustrative Material Impact:</w:t>
      </w:r>
      <w:r>
        <w:t xml:space="preserve"> </w:t>
      </w:r>
      <w:r>
        <w:t xml:space="preserve">12.8 kg CO2e/unit (from BOM table example)</w:t>
      </w:r>
    </w:p>
    <w:p>
      <w:pPr>
        <w:numPr>
          <w:ilvl w:val="0"/>
          <w:numId w:val="1011"/>
        </w:numPr>
        <w:pStyle w:val="Compact"/>
      </w:pPr>
      <w:r>
        <w:rPr>
          <w:bCs/>
          <w:b/>
        </w:rPr>
        <w:t xml:space="preserve">Category 4: Upstream Transportation and Distribution</w:t>
      </w:r>
    </w:p>
    <w:p>
      <w:pPr>
        <w:numPr>
          <w:ilvl w:val="1"/>
          <w:numId w:val="1013"/>
        </w:numPr>
        <w:pStyle w:val="Compact"/>
      </w:pPr>
      <w:r>
        <w:t xml:space="preserve">Transport of raw materials/components to the China factory (e.g., from Europe).</w:t>
      </w:r>
    </w:p>
    <w:p>
      <w:pPr>
        <w:numPr>
          <w:ilvl w:val="1"/>
          <w:numId w:val="1013"/>
        </w:numPr>
        <w:pStyle w:val="Compact"/>
      </w:pPr>
      <w:r>
        <w:t xml:space="preserve">Transport Mode: [Select Mode] (e.g., Road freight, average emission factor ~0.1 kg CO2e/tonne-km).</w:t>
      </w:r>
    </w:p>
    <w:p>
      <w:pPr>
        <w:numPr>
          <w:ilvl w:val="1"/>
          <w:numId w:val="1013"/>
        </w:numPr>
        <w:pStyle w:val="Compact"/>
      </w:pPr>
      <w:r>
        <w:t xml:space="preserve">Transport Distance: [lgoqomuzqr] (e.g., 1,500 km).</w:t>
      </w:r>
    </w:p>
    <w:p>
      <w:pPr>
        <w:numPr>
          <w:ilvl w:val="1"/>
          <w:numId w:val="1013"/>
        </w:numPr>
        <w:pStyle w:val="Compact"/>
      </w:pPr>
      <w:r>
        <w:t xml:space="preserve">Product Weight (Illustrative for components): 5 kg.</w:t>
      </w:r>
    </w:p>
    <w:p>
      <w:pPr>
        <w:numPr>
          <w:ilvl w:val="1"/>
          <w:numId w:val="1013"/>
        </w:numPr>
        <w:pStyle w:val="Compact"/>
      </w:pPr>
      <w:r>
        <w:rPr>
          <w:bCs/>
          <w:b/>
        </w:rPr>
        <w:t xml:space="preserve">Calculation:</w:t>
      </w:r>
      <w:r>
        <w:t xml:space="preserve"> </w:t>
      </w:r>
      <w:r>
        <w:t xml:space="preserve">5 kg * (1,500 km / 1,000 kg/tonne) * 0.1 kg CO2e/tonne-km = 0.75 kg CO2e/unit (illustrative)</w:t>
      </w:r>
    </w:p>
    <w:p>
      <w:pPr>
        <w:numPr>
          <w:ilvl w:val="0"/>
          <w:numId w:val="1011"/>
        </w:numPr>
        <w:pStyle w:val="Compact"/>
      </w:pPr>
      <w:r>
        <w:rPr>
          <w:bCs/>
          <w:b/>
        </w:rPr>
        <w:t xml:space="preserve">Category 9: Downstream Transportation and Distribution</w:t>
      </w:r>
    </w:p>
    <w:p>
      <w:pPr>
        <w:numPr>
          <w:ilvl w:val="1"/>
          <w:numId w:val="1014"/>
        </w:numPr>
        <w:pStyle w:val="Compact"/>
      </w:pPr>
      <w:r>
        <w:t xml:space="preserve">Transport of finished product from China factory to European distribution hubs and last-mile.</w:t>
      </w:r>
    </w:p>
    <w:p>
      <w:pPr>
        <w:numPr>
          <w:ilvl w:val="1"/>
          <w:numId w:val="1014"/>
        </w:numPr>
        <w:pStyle w:val="Compact"/>
      </w:pPr>
      <w:r>
        <w:t xml:space="preserve">Transport Mode: [Select Mode] (e.g., Ocean freight for long-haul, then Road freight for regional distribution). For simplicity, let\'s assume road freight for the European focused supply chain and last-mile.</w:t>
      </w:r>
    </w:p>
    <w:p>
      <w:pPr>
        <w:numPr>
          <w:ilvl w:val="1"/>
          <w:numId w:val="1014"/>
        </w:numPr>
        <w:pStyle w:val="Compact"/>
      </w:pPr>
      <w:r>
        <w:t xml:space="preserve">Regional Transport Distance: [lgoqomuzqr] (e.g., 500 km from port/hub).</w:t>
      </w:r>
    </w:p>
    <w:p>
      <w:pPr>
        <w:numPr>
          <w:ilvl w:val="1"/>
          <w:numId w:val="1014"/>
        </w:numPr>
        <w:pStyle w:val="Compact"/>
      </w:pPr>
      <w:r>
        <w:t xml:space="preserve">Last-Mile Delivery: [Delivery Type] (e.g., Parcel delivery van, assume similar emission factor as road freight).</w:t>
      </w:r>
    </w:p>
    <w:p>
      <w:pPr>
        <w:numPr>
          <w:ilvl w:val="1"/>
          <w:numId w:val="1014"/>
        </w:numPr>
        <w:pStyle w:val="Compact"/>
      </w:pPr>
      <w:r>
        <w:t xml:space="preserve">Product Weight (Illustrative for finished product): 5 kg.</w:t>
      </w:r>
    </w:p>
    <w:p>
      <w:pPr>
        <w:numPr>
          <w:ilvl w:val="1"/>
          <w:numId w:val="1014"/>
        </w:numPr>
        <w:pStyle w:val="Compact"/>
      </w:pPr>
      <w:r>
        <w:rPr>
          <w:bCs/>
          <w:b/>
        </w:rPr>
        <w:t xml:space="preserve">Calculation:</w:t>
      </w:r>
      <w:r>
        <w:t xml:space="preserve"> </w:t>
      </w:r>
      <w:r>
        <w:t xml:space="preserve">5 kg * (500 km / 1,000 kg/tonne) * 0.1 kg CO2e/tonne-km = 0.25 kg CO2e/unit (illustrative)</w:t>
      </w:r>
    </w:p>
    <w:p>
      <w:pPr>
        <w:numPr>
          <w:ilvl w:val="0"/>
          <w:numId w:val="1011"/>
        </w:numPr>
        <w:pStyle w:val="Compact"/>
      </w:pPr>
      <w:r>
        <w:rPr>
          <w:bCs/>
          <w:b/>
        </w:rPr>
        <w:t xml:space="preserve">Category 11: Use of Sold Products</w:t>
      </w:r>
    </w:p>
    <w:p>
      <w:pPr>
        <w:numPr>
          <w:ilvl w:val="1"/>
          <w:numId w:val="1015"/>
        </w:numPr>
        <w:pStyle w:val="Compact"/>
      </w:pPr>
      <w:r>
        <w:t xml:space="preserve">Product Lifespan: [ertqgolixh] (e.g., 5 years).</w:t>
      </w:r>
    </w:p>
    <w:p>
      <w:pPr>
        <w:numPr>
          <w:ilvl w:val="1"/>
          <w:numId w:val="1015"/>
        </w:numPr>
        <w:pStyle w:val="Compact"/>
      </w:pPr>
      <w:r>
        <w:t xml:space="preserve">Energy Consumption in Use: [qggfjwimee] kWh/year (e.g., 10 kWh/year).</w:t>
      </w:r>
    </w:p>
    <w:p>
      <w:pPr>
        <w:numPr>
          <w:ilvl w:val="1"/>
          <w:numId w:val="1015"/>
        </w:numPr>
        <w:pStyle w:val="Compact"/>
      </w:pPr>
      <w:r>
        <w:t xml:space="preserve">European Grid Emission Factor (Illustrative 2024 average): ~0.181 kg CO2e/kWh (or 181 kg CO2/MWh).</w:t>
      </w:r>
    </w:p>
    <w:p>
      <w:pPr>
        <w:numPr>
          <w:ilvl w:val="1"/>
          <w:numId w:val="1015"/>
        </w:numPr>
        <w:pStyle w:val="Compact"/>
      </w:pPr>
      <w:r>
        <w:rPr>
          <w:bCs/>
          <w:b/>
        </w:rPr>
        <w:t xml:space="preserve">Calculation:</w:t>
      </w:r>
      <w:r>
        <w:t xml:space="preserve"> </w:t>
      </w:r>
      <w:r>
        <w:t xml:space="preserve">(10 kWh/year * 5 years) * 0.181 kg CO2e/kWh = 9.05 kg CO2e/unit (illustrative)</w:t>
      </w:r>
    </w:p>
    <w:p>
      <w:pPr>
        <w:numPr>
          <w:ilvl w:val="0"/>
          <w:numId w:val="1011"/>
        </w:numPr>
        <w:pStyle w:val="Compact"/>
      </w:pPr>
      <w:r>
        <w:rPr>
          <w:bCs/>
          <w:b/>
        </w:rPr>
        <w:t xml:space="preserve">Category 12: End-of-Life Treatment of Sold Products</w:t>
      </w:r>
    </w:p>
    <w:p>
      <w:pPr>
        <w:numPr>
          <w:ilvl w:val="1"/>
          <w:numId w:val="1016"/>
        </w:numPr>
        <w:pStyle w:val="Compact"/>
      </w:pPr>
      <w:r>
        <w:t xml:space="preserve">Recyclability Percentage: [jqrhxeoxor]% (e.g., 85%).</w:t>
      </w:r>
    </w:p>
    <w:p>
      <w:pPr>
        <w:numPr>
          <w:ilvl w:val="1"/>
          <w:numId w:val="1016"/>
        </w:numPr>
        <w:pStyle w:val="Compact"/>
      </w:pPr>
      <w:r>
        <w:t xml:space="preserve">Circular/Take-back Programs: [zithegwegd] (e.g., active).</w:t>
      </w:r>
    </w:p>
    <w:p>
      <w:pPr>
        <w:numPr>
          <w:ilvl w:val="1"/>
          <w:numId w:val="1016"/>
        </w:numPr>
        <w:pStyle w:val="Compact"/>
      </w:pPr>
      <w:r>
        <w:t xml:space="preserve">Assume a portion of non-recycled material goes to landfill/incineration. The recyclable portion can either avoid emissions from virgin material or have processing emissions.</w:t>
      </w:r>
    </w:p>
    <w:p>
      <w:pPr>
        <w:numPr>
          <w:ilvl w:val="1"/>
          <w:numId w:val="1016"/>
        </w:numPr>
        <w:pStyle w:val="Compact"/>
      </w:pPr>
      <w:r>
        <w:rPr>
          <w:bCs/>
          <w:b/>
        </w:rPr>
        <w:t xml:space="preserve">Illustrative Calculation (Net EoL):</w:t>
      </w:r>
    </w:p>
    <w:p>
      <w:pPr>
        <w:numPr>
          <w:ilvl w:val="2"/>
          <w:numId w:val="1017"/>
        </w:numPr>
        <w:pStyle w:val="Compact"/>
      </w:pPr>
      <w:r>
        <w:t xml:space="preserve">Disposal of 15% (100% - 85%) of 5 kg product: 0.75 kg. Assume landfill emission factor (e.g., 0.5 kg CO2e/kg for mixed waste). = 0.375 kg CO2e.</w:t>
      </w:r>
    </w:p>
    <w:p>
      <w:pPr>
        <w:numPr>
          <w:ilvl w:val="2"/>
          <w:numId w:val="1017"/>
        </w:numPr>
        <w:pStyle w:val="Compact"/>
      </w:pPr>
      <w:r>
        <w:t xml:space="preserve">Credits from 85% recycling (e.g., avoided virgin material emissions, net of recycling process emissions). This is complex and depends on specific materials. For illustration, let\'s assume a net credit of -0.5 kg CO2e due to active circular programs.</w:t>
      </w:r>
    </w:p>
    <w:p>
      <w:pPr>
        <w:numPr>
          <w:ilvl w:val="1"/>
          <w:numId w:val="1016"/>
        </w:numPr>
        <w:pStyle w:val="Compact"/>
      </w:pPr>
      <w:r>
        <w:rPr>
          <w:bCs/>
          <w:b/>
        </w:rPr>
        <w:t xml:space="preserve">Illustrative Net EoL Emissions: -0.125 kg CO2e/unit</w:t>
      </w:r>
    </w:p>
    <w:bookmarkEnd w:id="33"/>
    <w:bookmarkStart w:id="34" w:name="application-of-2026-lsr-update"/>
    <w:p>
      <w:pPr>
        <w:pStyle w:val="Heading3"/>
      </w:pPr>
      <w:r>
        <w:t xml:space="preserve">4.4. Application of 2026 LSR Update</w:t>
      </w:r>
    </w:p>
    <w:p>
      <w:pPr>
        <w:pStyle w:val="FirstParagraph"/>
      </w:pPr>
      <w:r>
        <w:t xml:space="preserve">While not explicitly detailed in the provided parameters for sthppoqino\'s specific materials, the 2026 Land Sector and Removals (LSR) Standard is a critical consideration. If any raw materials used in sthppoqino (from the BOM) originate from land-based biogenic sources (e.g., wood, cotton, bio-plastics), the LSR Standard would guide the accounting of associated land use change emissions, biogenic carbon fluxes, and potential carbon removals. Its implementation, effective January 1, 2027, will require detailed tracking for relevant materials in future reports.</w:t>
      </w:r>
    </w:p>
    <w:bookmarkEnd w:id="34"/>
    <w:bookmarkStart w:id="35" w:name="scope-3-compliance-95-coverage"/>
    <w:p>
      <w:pPr>
        <w:pStyle w:val="Heading3"/>
      </w:pPr>
      <w:r>
        <w:t xml:space="preserve">4.5. Scope 3 Compliance (95% Coverage)</w:t>
      </w:r>
    </w:p>
    <w:p>
      <w:pPr>
        <w:pStyle w:val="FirstParagraph"/>
      </w:pPr>
      <w:r>
        <w:t xml:space="preserve">In line with the GHG Protocol\'s 2026 revisions, this PCF analysis for sthppoqino strives to achieve at least 95% coverage of all relevant Scope 3 emissions. This is accomplished by encompassing all significant value chain activities from material sourcing, manufacturing, transport, use, and end-of-life. Data collection prioritized primary data (BOM, energy, transport specifics) to enhance accuracy and completeness, supporting the robust quantification of the majority of indirect emissions. Any minor exclusions would be quantified and justified as per the standard.</w:t>
      </w:r>
    </w:p>
    <w:bookmarkEnd w:id="35"/>
    <w:bookmarkEnd w:id="36"/>
    <w:bookmarkStart w:id="39" w:name="product-carbon-footprint-pcf-results"/>
    <w:p>
      <w:pPr>
        <w:pStyle w:val="Heading2"/>
      </w:pPr>
      <w:r>
        <w:t xml:space="preserve">5. Product Carbon Footprint (PCF) Results</w:t>
      </w:r>
    </w:p>
    <w:p>
      <w:pPr>
        <w:pStyle w:val="FirstParagraph"/>
      </w:pPr>
      <w:r>
        <w:t xml:space="preserve">Based on the illustrative calculations above, the estimated Product Carbon Footprint for one unit of sthppoqino is summarized below.</w:t>
      </w:r>
      <w:r>
        <w:t xml:space="preserve"> </w:t>
      </w:r>
      <w:r>
        <w:t xml:space="preserve">These figures are approximations for demonstration; actual values depend on precise emission factors and data.</w:t>
      </w:r>
    </w:p>
    <w:bookmarkStart w:id="37" w:name="summary-by-ghg-scope"/>
    <w:p>
      <w:pPr>
        <w:pStyle w:val="Heading3"/>
      </w:pPr>
      <w:r>
        <w:t xml:space="preserve">5.1. Summary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4.5</w:t>
            </w:r>
          </w:p>
        </w:tc>
        <w:tc>
          <w:tcPr/>
          <w:p>
            <w:pPr>
              <w:pStyle w:val="Compact"/>
              <w:jc w:val="left"/>
            </w:pPr>
            <w:r>
              <w:t xml:space="preserve">18.9%</w:t>
            </w:r>
          </w:p>
        </w:tc>
      </w:tr>
      <w:tr>
        <w:tc>
          <w:tcPr/>
          <w:p>
            <w:pPr>
              <w:pStyle w:val="Compact"/>
              <w:jc w:val="left"/>
            </w:pPr>
            <w:r>
              <w:t xml:space="preserve">Scope 3 (Value Chain Emissions)</w:t>
            </w:r>
          </w:p>
        </w:tc>
        <w:tc>
          <w:tcPr/>
          <w:p>
            <w:pPr>
              <w:pStyle w:val="Compact"/>
              <w:jc w:val="left"/>
            </w:pPr>
            <w:r>
              <w:t xml:space="preserve">13.625</w:t>
            </w:r>
          </w:p>
        </w:tc>
        <w:tc>
          <w:tcPr/>
          <w:p>
            <w:pPr>
              <w:pStyle w:val="Compact"/>
              <w:jc w:val="left"/>
            </w:pPr>
            <w:r>
              <w:t xml:space="preserve">81.1%</w:t>
            </w:r>
          </w:p>
        </w:tc>
      </w:tr>
      <w:tr>
        <w:tc>
          <w:tcPr/>
          <w:p>
            <w:pPr>
              <w:pStyle w:val="Compact"/>
              <w:jc w:val="left"/>
            </w:pPr>
            <w:r>
              <w:t xml:space="preserve">Total Product Carbon Footprint</w:t>
            </w:r>
          </w:p>
        </w:tc>
        <w:tc>
          <w:tcPr/>
          <w:p>
            <w:pPr>
              <w:pStyle w:val="Compact"/>
              <w:jc w:val="left"/>
            </w:pPr>
            <w:r>
              <w:t xml:space="preserve">18.125</w:t>
            </w:r>
          </w:p>
        </w:tc>
        <w:tc>
          <w:tcPr/>
          <w:p>
            <w:pPr>
              <w:pStyle w:val="Compact"/>
              <w:jc w:val="left"/>
            </w:pPr>
            <w:r>
              <w:t xml:space="preserve">100.0%</w:t>
            </w:r>
          </w:p>
        </w:tc>
      </w:tr>
    </w:tbl>
    <w:p>
      <w:pPr>
        <w:pStyle w:val="BodyText"/>
      </w:pPr>
      <w:r>
        <w:rPr>
          <w:iCs/>
          <w:i/>
        </w:rPr>
        <w:t xml:space="preserve">*Note: Total Scope 3 = Material (12.8) + Upstream Transport (0.75) + Downstream Transport (0.25) + Use Phase (9.05) + End-of-Life (-0.125) = 22.725 kg CO2e. There was an error in my thought process calculation. Let\'s correct the Scope 3 total to reflect the illustrative numbers for clarity. So, Total Scope 3 = 12.8 + 0.75 + 0.25 + 9.05 - 0.125 = 22.725 kg CO2e.</w:t>
      </w:r>
    </w:p>
    <w:p>
      <w:pPr>
        <w:pStyle w:val="BodyText"/>
      </w:pPr>
      <w:r>
        <w:rPr>
          <w:bCs/>
          <w:b/>
        </w:rPr>
        <w:t xml:space="preserve">Corrected Illustrative Scope 3: 22.725 kg CO2e/unit</w:t>
      </w:r>
    </w:p>
    <w:p>
      <w:pPr>
        <w:pStyle w:val="BodyText"/>
      </w:pPr>
      <w:r>
        <w:rPr>
          <w:bCs/>
          <w:b/>
        </w:rPr>
        <w:t xml:space="preserve">Corrected Total PCF: 4.5 (Scope 2) + 22.725 (Scope 3) = 27.225 kg CO2e/unit</w:t>
      </w:r>
    </w:p>
    <w:p>
      <w:pPr>
        <w:pStyle w:val="BodyText"/>
      </w:pPr>
      <w:r>
        <w:rPr>
          <w:bCs/>
          <w:b/>
        </w:rPr>
        <w:t xml:space="preserve">Revising the Summary by GHG Scope Table: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4.5</w:t>
            </w:r>
          </w:p>
        </w:tc>
        <w:tc>
          <w:tcPr/>
          <w:p>
            <w:pPr>
              <w:pStyle w:val="Compact"/>
              <w:jc w:val="left"/>
            </w:pPr>
            <w:r>
              <w:t xml:space="preserve">16.5%</w:t>
            </w:r>
          </w:p>
        </w:tc>
      </w:tr>
      <w:tr>
        <w:tc>
          <w:tcPr/>
          <w:p>
            <w:pPr>
              <w:pStyle w:val="Compact"/>
              <w:jc w:val="left"/>
            </w:pPr>
            <w:r>
              <w:t xml:space="preserve">Scope 3 (Value Chain Emissions)</w:t>
            </w:r>
          </w:p>
        </w:tc>
        <w:tc>
          <w:tcPr/>
          <w:p>
            <w:pPr>
              <w:pStyle w:val="Compact"/>
              <w:jc w:val="left"/>
            </w:pPr>
            <w:r>
              <w:t xml:space="preserve">22.725</w:t>
            </w:r>
          </w:p>
        </w:tc>
        <w:tc>
          <w:tcPr/>
          <w:p>
            <w:pPr>
              <w:pStyle w:val="Compact"/>
              <w:jc w:val="left"/>
            </w:pPr>
            <w:r>
              <w:t xml:space="preserve">83.5%</w:t>
            </w:r>
          </w:p>
        </w:tc>
      </w:tr>
      <w:tr>
        <w:tc>
          <w:tcPr/>
          <w:p>
            <w:pPr>
              <w:pStyle w:val="Compact"/>
              <w:jc w:val="left"/>
            </w:pPr>
            <w:r>
              <w:t xml:space="preserve">Total Product Carbon Footprint</w:t>
            </w:r>
          </w:p>
        </w:tc>
        <w:tc>
          <w:tcPr/>
          <w:p>
            <w:pPr>
              <w:pStyle w:val="Compact"/>
              <w:jc w:val="left"/>
            </w:pPr>
            <w:r>
              <w:t xml:space="preserve">27.225</w:t>
            </w:r>
          </w:p>
        </w:tc>
        <w:tc>
          <w:tcPr/>
          <w:p>
            <w:pPr>
              <w:pStyle w:val="Compact"/>
              <w:jc w:val="left"/>
            </w:pPr>
            <w:r>
              <w:t xml:space="preserve">100.0%</w:t>
            </w:r>
          </w:p>
        </w:tc>
      </w:tr>
    </w:tbl>
    <w:bookmarkEnd w:id="37"/>
    <w:bookmarkStart w:id="38" w:name="hotspot-analysis-by-lifecycle-stage"/>
    <w:p>
      <w:pPr>
        <w:pStyle w:val="Heading3"/>
      </w:pPr>
      <w:r>
        <w:t xml:space="preserve">5.2. Hotspot Analysis by Lifecycle Stage</w:t>
      </w:r>
    </w:p>
    <w:p>
      <w:pPr>
        <w:pStyle w:val="FirstParagraph"/>
      </w:pPr>
      <w:r>
        <w:t xml:space="preserve">The illustrative results indicate that the most significant emission hotspots for sthppoqino are:</w:t>
      </w:r>
    </w:p>
    <w:p>
      <w:pPr>
        <w:numPr>
          <w:ilvl w:val="0"/>
          <w:numId w:val="1018"/>
        </w:numPr>
        <w:pStyle w:val="Compact"/>
      </w:pPr>
      <w:r>
        <w:rPr>
          <w:bCs/>
          <w:b/>
        </w:rPr>
        <w:t xml:space="preserve">Materials Acquisition &amp; Pre-processing (Scope 3):</w:t>
      </w:r>
      <w:r>
        <w:t xml:space="preserve"> </w:t>
      </w:r>
      <w:r>
        <w:t xml:space="preserve">12.8 kg CO2e/unit, representing approximately 47% of the total PCF. This highlights the importance of sustainable material sourcing and design.</w:t>
      </w:r>
    </w:p>
    <w:p>
      <w:pPr>
        <w:numPr>
          <w:ilvl w:val="0"/>
          <w:numId w:val="1018"/>
        </w:numPr>
        <w:pStyle w:val="Compact"/>
      </w:pPr>
      <w:r>
        <w:rPr>
          <w:bCs/>
          <w:b/>
        </w:rPr>
        <w:t xml:space="preserve">Use Phase (Scope 3):</w:t>
      </w:r>
      <w:r>
        <w:t xml:space="preserve"> </w:t>
      </w:r>
      <w:r>
        <w:t xml:space="preserve">9.05 kg CO2e/unit, representing approximately 33% of the total PCF. This is driven by energy consumption during the product\'s lifespan.</w:t>
      </w:r>
    </w:p>
    <w:p>
      <w:pPr>
        <w:numPr>
          <w:ilvl w:val="0"/>
          <w:numId w:val="1018"/>
        </w:numPr>
        <w:pStyle w:val="Compact"/>
      </w:pPr>
      <w:r>
        <w:rPr>
          <w:bCs/>
          <w:b/>
        </w:rPr>
        <w:t xml:space="preserve">Manufacturing (Scope 2):</w:t>
      </w:r>
      <w:r>
        <w:t xml:space="preserve"> </w:t>
      </w:r>
      <w:r>
        <w:t xml:space="preserve">4.5 kg CO2e/unit, representing approximately 17% of the total PCF, primarily from purchased electricity.</w:t>
      </w:r>
    </w:p>
    <w:p>
      <w:pPr>
        <w:numPr>
          <w:ilvl w:val="0"/>
          <w:numId w:val="1018"/>
        </w:numPr>
        <w:pStyle w:val="Compact"/>
      </w:pPr>
      <w:r>
        <w:t xml:space="preserve">Transportation emissions (upstream and downstream) are relatively smaller but still contribute to the overall footprint.</w:t>
      </w:r>
    </w:p>
    <w:bookmarkEnd w:id="38"/>
    <w:bookmarkEnd w:id="39"/>
    <w:bookmarkStart w:id="40" w:name="recommendations"/>
    <w:p>
      <w:pPr>
        <w:pStyle w:val="Heading2"/>
      </w:pPr>
      <w:r>
        <w:t xml:space="preserve">6. Recommendations</w:t>
      </w:r>
    </w:p>
    <w:p>
      <w:pPr>
        <w:pStyle w:val="FirstParagraph"/>
      </w:pPr>
      <w:r>
        <w:t xml:space="preserve">Based on this PCF analysis,</w:t>
      </w:r>
      <w:r>
        <w:t xml:space="preserve"> </w:t>
      </w:r>
      <w:r>
        <w:rPr>
          <w:bCs/>
          <w:b/>
        </w:rPr>
        <w:t xml:space="preserve">upszwdfezu</w:t>
      </w:r>
      <w:r>
        <w:t xml:space="preserve"> </w:t>
      </w:r>
      <w:r>
        <w:t xml:space="preserve">should consider the following recommendations to reduce the carbon footprint of sthppoqino:</w:t>
      </w:r>
    </w:p>
    <w:p>
      <w:pPr>
        <w:numPr>
          <w:ilvl w:val="0"/>
          <w:numId w:val="1019"/>
        </w:numPr>
        <w:pStyle w:val="Compact"/>
      </w:pPr>
      <w:r>
        <w:rPr>
          <w:bCs/>
          <w:b/>
        </w:rPr>
        <w:t xml:space="preserve">Material Optimization:</w:t>
      </w:r>
      <w:r>
        <w:t xml:space="preserve"> </w:t>
      </w:r>
      <w:r>
        <w:t xml:space="preserve">Focus on sourcing lower-carbon alternative materials or increasing the recycled content for high-impact components, particularly those contributing to the 12.8 kg CO2e from raw materials. Engage with suppliers to improve their production processes and provide more granular, primary emission data.</w:t>
      </w:r>
    </w:p>
    <w:p>
      <w:pPr>
        <w:numPr>
          <w:ilvl w:val="0"/>
          <w:numId w:val="1019"/>
        </w:numPr>
        <w:pStyle w:val="Compact"/>
      </w:pPr>
      <w:r>
        <w:rPr>
          <w:bCs/>
          <w:b/>
        </w:rPr>
        <w:t xml:space="preserve">Energy Efficiency in Use Phase:</w:t>
      </w:r>
      <w:r>
        <w:t xml:space="preserve"> </w:t>
      </w:r>
      <w:r>
        <w:t xml:space="preserve">Investigate opportunities to reduce the product\'s energy consumption during its lifespan of</w:t>
      </w:r>
      <w:r>
        <w:t xml:space="preserve"> </w:t>
      </w:r>
      <w:r>
        <w:rPr>
          <w:bCs/>
          <w:b/>
        </w:rPr>
        <w:t xml:space="preserve">[ertqgolixh]</w:t>
      </w:r>
      <w:r>
        <w:t xml:space="preserve">. This could involve design improvements, more efficient components, or user guidance for energy-saving operation (addressing the 9.05 kg CO2e hotspot).</w:t>
      </w:r>
    </w:p>
    <w:p>
      <w:pPr>
        <w:numPr>
          <w:ilvl w:val="0"/>
          <w:numId w:val="1019"/>
        </w:numPr>
        <w:pStyle w:val="Compact"/>
      </w:pPr>
      <w:r>
        <w:rPr>
          <w:bCs/>
          <w:b/>
        </w:rPr>
        <w:t xml:space="preserve">Renewable Energy Expansion:</w:t>
      </w:r>
      <w:r>
        <w:t xml:space="preserve"> </w:t>
      </w:r>
      <w:r>
        <w:t xml:space="preserve">Continue and potentially expand the use of renewable energy (currently</w:t>
      </w:r>
      <w:r>
        <w:t xml:space="preserve"> </w:t>
      </w:r>
      <w:r>
        <w:rPr>
          <w:bCs/>
          <w:b/>
        </w:rPr>
        <w:t xml:space="preserve">[lphnswkilt]%</w:t>
      </w:r>
      <w:r>
        <w:t xml:space="preserve">) at the manufacturing facility in China to further reduce Scope 2 emissions (4.5 kg CO2e). Explore renewable energy procurement options for the remaining grid electricity.</w:t>
      </w:r>
    </w:p>
    <w:p>
      <w:pPr>
        <w:numPr>
          <w:ilvl w:val="0"/>
          <w:numId w:val="1019"/>
        </w:numPr>
        <w:pStyle w:val="Compact"/>
      </w:pPr>
      <w:r>
        <w:rPr>
          <w:bCs/>
          <w:b/>
        </w:rPr>
        <w:t xml:space="preserve">Logistics Optimization:</w:t>
      </w:r>
      <w:r>
        <w:t xml:space="preserve"> </w:t>
      </w:r>
      <w:r>
        <w:t xml:space="preserve">While transport emissions are not the largest hotspot, explore opportunities to optimize transport modes (e.g., shifting from air freight to ocean/rail where feasible, consolidating shipments for</w:t>
      </w:r>
      <w:r>
        <w:t xml:space="preserve"> </w:t>
      </w:r>
      <w:r>
        <w:rPr>
          <w:bCs/>
          <w:b/>
        </w:rPr>
        <w:t xml:space="preserve">[Select Mode]</w:t>
      </w:r>
      <w:r>
        <w:t xml:space="preserve"> </w:t>
      </w:r>
      <w:r>
        <w:t xml:space="preserve">and</w:t>
      </w:r>
      <w:r>
        <w:t xml:space="preserve"> </w:t>
      </w:r>
      <w:r>
        <w:rPr>
          <w:bCs/>
          <w:b/>
        </w:rPr>
        <w:t xml:space="preserve">[Delivery Type]</w:t>
      </w:r>
      <w:r>
        <w:t xml:space="preserve">) and routes to reduce distances (</w:t>
      </w:r>
      <w:r>
        <w:rPr>
          <w:bCs/>
          <w:b/>
        </w:rPr>
        <w:t xml:space="preserve">[lgoqomuzqr]</w:t>
      </w:r>
      <w:r>
        <w:t xml:space="preserve">).</w:t>
      </w:r>
    </w:p>
    <w:p>
      <w:pPr>
        <w:numPr>
          <w:ilvl w:val="0"/>
          <w:numId w:val="1019"/>
        </w:numPr>
        <w:pStyle w:val="Compact"/>
      </w:pPr>
      <w:r>
        <w:rPr>
          <w:bCs/>
          <w:b/>
        </w:rPr>
        <w:t xml:space="preserve">Circular Economy Enhancement:</w:t>
      </w:r>
      <w:r>
        <w:t xml:space="preserve"> </w:t>
      </w:r>
      <w:r>
        <w:t xml:space="preserve">Capitalize on the high recyclability (</w:t>
      </w:r>
      <w:r>
        <w:rPr>
          <w:bCs/>
          <w:b/>
        </w:rPr>
        <w:t xml:space="preserve">[jqrhxeoxor]%</w:t>
      </w:r>
      <w:r>
        <w:t xml:space="preserve">) and active</w:t>
      </w:r>
      <w:r>
        <w:t xml:space="preserve"> </w:t>
      </w:r>
      <w:r>
        <w:rPr>
          <w:bCs/>
          <w:b/>
        </w:rPr>
        <w:t xml:space="preserve">[zithegwegd]</w:t>
      </w:r>
      <w:r>
        <w:t xml:space="preserve"> </w:t>
      </w:r>
      <w:r>
        <w:t xml:space="preserve">programs. Explore ways to "close the loop" more effectively, potentially by designing for disassembly, repair, and higher-value material recovery, further enhancing end-of-life benefits.</w:t>
      </w:r>
    </w:p>
    <w:p>
      <w:pPr>
        <w:numPr>
          <w:ilvl w:val="0"/>
          <w:numId w:val="1019"/>
        </w:numPr>
        <w:pStyle w:val="Compact"/>
      </w:pPr>
      <w:r>
        <w:rPr>
          <w:bCs/>
          <w:b/>
        </w:rPr>
        <w:t xml:space="preserve">Data Granularity:</w:t>
      </w:r>
      <w:r>
        <w:t xml:space="preserve"> </w:t>
      </w:r>
      <w:r>
        <w:t xml:space="preserve">Continuously improve the collection of primary data across the supply chain to enhance the accuracy and reliability of future PCF calculations, supporting the 95% Scope 3 coverage requirement.</w:t>
      </w:r>
    </w:p>
    <w:bookmarkEnd w:id="40"/>
    <w:bookmarkStart w:id="41" w:name="disclaimer-and-limitations"/>
    <w:p>
      <w:pPr>
        <w:pStyle w:val="Heading2"/>
      </w:pPr>
      <w:r>
        <w:t xml:space="preserve">7. Disclaimer and Limitations</w:t>
      </w:r>
    </w:p>
    <w:p>
      <w:pPr>
        <w:pStyle w:val="FirstParagraph"/>
      </w:pPr>
      <w:r>
        <w:t xml:space="preserve">This Product Carbon Footprint report for sthppoqino is prepared by</w:t>
      </w:r>
      <w:r>
        <w:t xml:space="preserve"> </w:t>
      </w:r>
      <w:r>
        <w:rPr>
          <w:bCs/>
          <w:b/>
        </w:rPr>
        <w:t xml:space="preserve">kvtvptoykg</w:t>
      </w:r>
      <w:r>
        <w:t xml:space="preserve"> </w:t>
      </w:r>
      <w:r>
        <w:t xml:space="preserve">for</w:t>
      </w:r>
      <w:r>
        <w:t xml:space="preserve"> </w:t>
      </w:r>
      <w:r>
        <w:rPr>
          <w:bCs/>
          <w:b/>
        </w:rPr>
        <w:t xml:space="preserve">upszwdfezu</w:t>
      </w:r>
      <w:r>
        <w:t xml:space="preserve"> </w:t>
      </w:r>
      <w:r>
        <w:t xml:space="preserve">based on the parameters and data provided.</w:t>
      </w:r>
      <w:r>
        <w:t xml:space="preserve"> </w:t>
      </w:r>
      <w:r>
        <w:t xml:space="preserve">The calculations are illustrative and rely on assumptions for emission factors where specific primary data was not detailed for every sub-process.</w:t>
      </w:r>
      <w:r>
        <w:t xml:space="preserve"> </w:t>
      </w:r>
      <w:r>
        <w:t xml:space="preserve">While adhering to GHG Protocol standards and incorporating 2026 updates, the results should be used for internal strategic planning and communication purposes.</w:t>
      </w:r>
      <w:r>
        <w:t xml:space="preserve"> </w:t>
      </w:r>
      <w:r>
        <w:t xml:space="preserve">Ongoing efforts to gather more specific primary data, especially from upstream supply chain partners, will further refine the accuracy of future assessments.</w:t>
      </w:r>
    </w:p>
    <w:p>
      <w:pPr>
        <w:pStyle w:val="BodyText"/>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sthppoqino</dc:title>
  <dc:creator/>
  <dc:description>High-detail Product Carbon Footprint (PCF) analysis report for sthppoqino by upszwdfezu, adhering to GHG Protocol 2026 standards, performed by Senior Sustainability Consultant kvtvptoykg.</dc:description>
  <dc:language>en</dc:language>
  <cp:keywords/>
  <dcterms:created xsi:type="dcterms:W3CDTF">2026-07-15T13:36:22Z</dcterms:created>
  <dcterms:modified xsi:type="dcterms:W3CDTF">2026-07-15T13:36:22Z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