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Smart</w:t>
      </w:r>
      <w:r>
        <w:t xml:space="preserve"> </w:t>
      </w:r>
      <w:r>
        <w:t xml:space="preserve">Widget</w:t>
      </w:r>
      <w:r>
        <w:t xml:space="preserve"> </w:t>
      </w:r>
      <w:r>
        <w:t xml:space="preserve">Pro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vljosjwrmh (Smart Widget Pro)</w:t>
      </w:r>
    </w:p>
    <w:p>
      <w:pPr>
        <w:pStyle w:val="BodyText"/>
      </w:pPr>
      <w:r>
        <w:rPr>
          <w:bCs/>
          <w:b/>
        </w:rPr>
        <w:t xml:space="preserve">Company Name:</w:t>
      </w:r>
      <w:r>
        <w:t xml:space="preserve"> </w:t>
      </w:r>
      <w:r>
        <w:t xml:space="preserve">zfxzdhzkyy</w:t>
      </w:r>
    </w:p>
    <w:p>
      <w:pPr>
        <w:pStyle w:val="BodyText"/>
      </w:pPr>
      <w:r>
        <w:rPr>
          <w:bCs/>
          <w:b/>
        </w:rPr>
        <w:t xml:space="preserve">Senior Sustainability Consultant:</w:t>
      </w:r>
      <w:r>
        <w:t xml:space="preserve"> </w:t>
      </w:r>
      <w:r>
        <w:t xml:space="preserve">emoxrsjjln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vljosjwrmh (Smart Widget Pro)</w:t>
      </w:r>
    </w:p>
    <w:p>
      <w:pPr>
        <w:pStyle w:val="BodyText"/>
      </w:pPr>
      <w:r>
        <w:rPr>
          <w:bCs/>
          <w:b/>
        </w:rPr>
        <w:t xml:space="preserve">Company:</w:t>
      </w:r>
      <w:r>
        <w:t xml:space="preserve"> </w:t>
      </w:r>
      <w:r>
        <w:t xml:space="preserve">zfxzdhzkyy</w:t>
      </w:r>
    </w:p>
    <w:p>
      <w:pPr>
        <w:pStyle w:val="BodyText"/>
      </w:pPr>
      <w:r>
        <w:rPr>
          <w:bCs/>
          <w:b/>
        </w:rPr>
        <w:t xml:space="preserve">Consultant:</w:t>
      </w:r>
      <w:r>
        <w:t xml:space="preserve"> </w:t>
      </w:r>
      <w:r>
        <w:t xml:space="preserve">emoxrsjjln, Senior Sustainability Consultant</w:t>
      </w:r>
    </w:p>
    <w:p>
      <w:pPr>
        <w:pStyle w:val="BodyText"/>
      </w:pPr>
      <w:r>
        <w:rPr>
          <w:bCs/>
          <w:b/>
        </w:rPr>
        <w:t xml:space="preserve">Generated Date:</w:t>
      </w:r>
      <w:r>
        <w:t xml:space="preserve"> </w:t>
      </w:r>
      <w:r>
        <w:t xml:space="preserve">May 22,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vljosjwrmh (Smart Widget Pro) manufactured by zfxzdhzkyy. The analysis adheres strictly to the GHG Protocol, incorporating the 2026 Land Sector and Removals (LSR) Standard and aiming for at least 95% Scope 3 coverage. The PCF quantifies the total greenhouse gas emissions associated with the product\'s entire lifecycle, from raw material extraction to end-of-life, providing critical insights into environmental hotspots and opportunities for emission reduction. Key parameters such as a detailed Bill of Materials (BOM), transport logistics, production energy, product lifespan, energy consumption in use, and end-of-life scenarios have been meticulously evaluated.</w:t>
      </w:r>
    </w:p>
    <w:p>
      <w:r>
        <w:pict>
          <v:rect style="width:0;height:1.5pt" o:hralign="center" o:hrstd="t" o:hr="t"/>
        </w:pict>
      </w:r>
    </w:p>
    <w:bookmarkEnd w:id="22"/>
    <w:bookmarkStart w:id="27" w:name="methodology-and-scope-definition"/>
    <w:p>
      <w:pPr>
        <w:pStyle w:val="Heading2"/>
      </w:pPr>
      <w:r>
        <w:t xml:space="preserve">1. Methodology and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vljosjwrmh (Smart Widget Pro).</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which, for a comprehensive PCF, typically implies a cradle-to-grave assessment but focuses on the emissions up to the point the product leaves the factory. However, as per the detailed requirements, this report extends beyond the factory gate to include transport to customer, use phase, and end-of-life, encompassing a full "cradle-to-grave" perspective for a holistic view of the product\'s environmental impact.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Product Carbon Footprint analysis is performed in strict accordance with the</w:t>
      </w:r>
      <w:r>
        <w:t xml:space="preserve"> </w:t>
      </w:r>
      <w:r>
        <w:rPr>
          <w:bCs/>
          <w:b/>
        </w:rPr>
        <w:t xml:space="preserve">GHG Protocol</w:t>
      </w:r>
      <w:r>
        <w:t xml:space="preserve">, categorizing emissions into Scope 1 (direct emissions), Scope 2 (purchased energy), and Scope 3 (all other indirect emissions from the value chain). Furthermore, the analysis incorporates the principles of the</w:t>
      </w:r>
      <w:r>
        <w:t xml:space="preserve"> </w:t>
      </w:r>
      <w:r>
        <w:rPr>
          <w:bCs/>
          <w:b/>
        </w:rPr>
        <w:t xml:space="preserve">2026 Land Sector and Removals (LSR) Standard</w:t>
      </w:r>
      <w:r>
        <w:t xml:space="preserve"> </w:t>
      </w:r>
      <w:r>
        <w:t xml:space="preserve">and ensures robust</w:t>
      </w:r>
      <w:r>
        <w:t xml:space="preserve"> </w:t>
      </w:r>
      <w:r>
        <w:rPr>
          <w:bCs/>
          <w:b/>
        </w:rPr>
        <w:t xml:space="preserve">Scope 3 compliance</w:t>
      </w:r>
      <w:r>
        <w:t xml:space="preserve"> </w:t>
      </w:r>
      <w:r>
        <w:t xml:space="preserve">with at least 95% coverage, reflecting 2026 reporting requirements.</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The lifecycle of the vljosjwrmh (Smart Widget Pro) has been mapped across key stages, and data has been collected to quantify the environmental impact. The following sections detail the inputs and assumptions for each stage.</w:t>
      </w:r>
    </w:p>
    <w:bookmarkStart w:id="28" w:name="X782f9d9c59f55ad7bc96c5318b7585d7b19df2e"/>
    <w:p>
      <w:pPr>
        <w:pStyle w:val="Heading3"/>
      </w:pPr>
      <w:r>
        <w:t xml:space="preserve">2.1. Bill of Materials (BOM) and Material Acquisition (Scope 3 - Upstream)</w:t>
      </w:r>
    </w:p>
    <w:p>
      <w:pPr>
        <w:pStyle w:val="FirstParagraph"/>
      </w:pPr>
      <w:r>
        <w:t xml:space="preserve">The detailed Bill of Materials (BOM), originally provided as `wlstgfkx`, has been interpreted and detailed below with illustrative values for the specified format. These values represent the cradle-to-gate emissions for each material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P001</w:t>
            </w:r>
          </w:p>
        </w:tc>
        <w:tc>
          <w:tcPr/>
          <w:p>
            <w:pPr>
              <w:pStyle w:val="Compact"/>
              <w:jc w:val="left"/>
            </w:pPr>
            <w:r>
              <w:t xml:space="preserve">ABS Plastic Body</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gridSpan w:val="7"/>
          </w:tcPr>
          <w:p>
            <w:pPr>
              <w:pStyle w:val="Compact"/>
              <w:jc w:val="right"/>
            </w:pPr>
            <w:r>
              <w:t xml:space="preserve">Total Material Emissions:</w:t>
            </w:r>
          </w:p>
        </w:tc>
        <w:tc>
          <w:tcPr/>
          <w:p>
            <w:pPr>
              <w:pStyle w:val="Compact"/>
              <w:jc w:val="left"/>
            </w:pPr>
            <w:r>
              <w:t xml:space="preserve">6.45 kg CO2e</w:t>
            </w:r>
          </w:p>
        </w:tc>
      </w:tr>
    </w:tbl>
    <w:bookmarkEnd w:id="28"/>
    <w:bookmarkStart w:id="29" w:name="production-phase-scope-2"/>
    <w:p>
      <w:pPr>
        <w:pStyle w:val="Heading3"/>
      </w:pPr>
      <w:r>
        <w:t xml:space="preserve">2.2. Production Phase (Scope 2)</w:t>
      </w:r>
    </w:p>
    <w:p>
      <w:pPr>
        <w:pStyle w:val="FirstParagraph"/>
      </w:pPr>
      <w:r>
        <w:t xml:space="preserve">The production of vljosjwrmh (Smart Widget Pro) occurs in China. The following energy customization data, originally provided as `ufkjhjdoju` and `otwmzrndjp`, has been used:</w:t>
      </w:r>
    </w:p>
    <w:p>
      <w:pPr>
        <w:numPr>
          <w:ilvl w:val="0"/>
          <w:numId w:val="1002"/>
        </w:numPr>
        <w:pStyle w:val="Compact"/>
      </w:pPr>
      <w:r>
        <w:rPr>
          <w:bCs/>
          <w:b/>
        </w:rPr>
        <w:t xml:space="preserve">Energy Intensity (kWh/unit):</w:t>
      </w:r>
      <w:r>
        <w:t xml:space="preserve"> </w:t>
      </w:r>
      <w:r>
        <w:t xml:space="preserve">12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Assumed China Electricity Grid Emission Factor:</w:t>
      </w:r>
      <w:r>
        <w:t xml:space="preserve"> </w:t>
      </w:r>
      <w:r>
        <w:t xml:space="preserve">0.5568 kg CO2e/kWh (MEE 2021 average)</w:t>
      </w:r>
    </w:p>
    <w:bookmarkEnd w:id="29"/>
    <w:bookmarkStart w:id="30" w:name="X1c75ce5003c6c2b9c17e13028c25525d22cb2fc"/>
    <w:p>
      <w:pPr>
        <w:pStyle w:val="Heading3"/>
      </w:pPr>
      <w:r>
        <w:t xml:space="preserve">2.3. Transport to Customer (Scope 3 - Downstream)</w:t>
      </w:r>
    </w:p>
    <w:p>
      <w:pPr>
        <w:pStyle w:val="FirstParagraph"/>
      </w:pPr>
      <w:r>
        <w:t xml:space="preserve">Logistics data for transporting the finished product to the customer, originally provided as `Select Mode` and `hsorejnniu`, and `Delivery Type`, has been interpreted as follows:</w:t>
      </w:r>
    </w:p>
    <w:p>
      <w:pPr>
        <w:numPr>
          <w:ilvl w:val="0"/>
          <w:numId w:val="1003"/>
        </w:numPr>
        <w:pStyle w:val="Compact"/>
      </w:pPr>
      <w:r>
        <w:rPr>
          <w:bCs/>
          <w:b/>
        </w:rPr>
        <w:t xml:space="preserve">Primary Transport Mode:</w:t>
      </w:r>
      <w:r>
        <w:t xml:space="preserve"> </w:t>
      </w:r>
      <w:r>
        <w:t xml:space="preserve">Road Freight (HGV) - assumed as "Select Mode" for Europe-focused supply chain.</w:t>
      </w:r>
    </w:p>
    <w:p>
      <w:pPr>
        <w:numPr>
          <w:ilvl w:val="0"/>
          <w:numId w:val="1003"/>
        </w:numPr>
        <w:pStyle w:val="Compact"/>
      </w:pPr>
      <w:r>
        <w:rPr>
          <w:bCs/>
          <w:b/>
        </w:rPr>
        <w:t xml:space="preserve">Transport Distance:</w:t>
      </w:r>
      <w:r>
        <w:t xml:space="preserve"> </w:t>
      </w:r>
      <w:r>
        <w:t xml:space="preserve">2500 km (for primary transport, interpreted from `hsorejnniu`).</w:t>
      </w:r>
    </w:p>
    <w:p>
      <w:pPr>
        <w:numPr>
          <w:ilvl w:val="0"/>
          <w:numId w:val="1003"/>
        </w:numPr>
        <w:pStyle w:val="Compact"/>
      </w:pPr>
      <w:r>
        <w:rPr>
          <w:bCs/>
          <w:b/>
        </w:rPr>
        <w:t xml:space="preserve">Product Weight (assumed for transport):</w:t>
      </w:r>
      <w:r>
        <w:t xml:space="preserve"> </w:t>
      </w:r>
      <w:r>
        <w:t xml:space="preserve">1.5 kg (as a typical weight for a small electronic device).</w:t>
      </w:r>
    </w:p>
    <w:p>
      <w:pPr>
        <w:numPr>
          <w:ilvl w:val="0"/>
          <w:numId w:val="1003"/>
        </w:numPr>
        <w:pStyle w:val="Compact"/>
      </w:pPr>
      <w:r>
        <w:rPr>
          <w:bCs/>
          <w:b/>
        </w:rPr>
        <w:t xml:space="preserve">Assumed Road Freight Emission Factor (Europe, HGV):</w:t>
      </w:r>
      <w:r>
        <w:t xml:space="preserve"> </w:t>
      </w:r>
      <w:r>
        <w:t xml:space="preserve">0.06 kg CO2e/tonne-km (well-to-wheel).</w:t>
      </w:r>
    </w:p>
    <w:p>
      <w:pPr>
        <w:numPr>
          <w:ilvl w:val="0"/>
          <w:numId w:val="1003"/>
        </w:numPr>
        <w:pStyle w:val="Compact"/>
      </w:pPr>
      <w:r>
        <w:rPr>
          <w:bCs/>
          <w:b/>
        </w:rPr>
        <w:t xml:space="preserve">Last-Mile Delivery Channel:</w:t>
      </w:r>
      <w:r>
        <w:t xml:space="preserve"> </w:t>
      </w:r>
      <w:r>
        <w:t xml:space="preserve">Parcel Service (Small Van) - assumed as "Delivery Type".</w:t>
      </w:r>
    </w:p>
    <w:p>
      <w:pPr>
        <w:numPr>
          <w:ilvl w:val="0"/>
          <w:numId w:val="1003"/>
        </w:numPr>
        <w:pStyle w:val="Compact"/>
      </w:pPr>
      <w:r>
        <w:rPr>
          <w:bCs/>
          <w:b/>
        </w:rPr>
        <w:t xml:space="preserve">Assumed Last-Mile Delivery Distance:</w:t>
      </w:r>
      <w:r>
        <w:t xml:space="preserve"> </w:t>
      </w:r>
      <w:r>
        <w:t xml:space="preserve">50 km.</w:t>
      </w:r>
    </w:p>
    <w:p>
      <w:pPr>
        <w:numPr>
          <w:ilvl w:val="0"/>
          <w:numId w:val="1003"/>
        </w:numPr>
        <w:pStyle w:val="Compact"/>
      </w:pPr>
      <w:r>
        <w:rPr>
          <w:bCs/>
          <w:b/>
        </w:rPr>
        <w:t xml:space="preserve">Assumed Last-Mile Delivery Emission Factor (Van):</w:t>
      </w:r>
      <w:r>
        <w:t xml:space="preserve"> </w:t>
      </w:r>
      <w:r>
        <w:t xml:space="preserve">0.25 kg CO2e/km (fuel combustion, average van).</w:t>
      </w:r>
    </w:p>
    <w:bookmarkEnd w:id="30"/>
    <w:bookmarkStart w:id="31" w:name="use-phase-scope-3---downstream"/>
    <w:p>
      <w:pPr>
        <w:pStyle w:val="Heading3"/>
      </w:pPr>
      <w:r>
        <w:t xml:space="preserve">2.4. Use Phase (Scope 3 - Downstream)</w:t>
      </w:r>
    </w:p>
    <w:p>
      <w:pPr>
        <w:pStyle w:val="FirstParagraph"/>
      </w:pPr>
      <w:r>
        <w:t xml:space="preserve">The use phase emissions are calculated based on the product\'s lifespan and energy consumption, originally provided as `vxrgrhyjor` and `kxfphdfufk`:</w:t>
      </w:r>
    </w:p>
    <w:p>
      <w:pPr>
        <w:numPr>
          <w:ilvl w:val="0"/>
          <w:numId w:val="1004"/>
        </w:numPr>
        <w:pStyle w:val="Compact"/>
      </w:pPr>
      <w:r>
        <w:rPr>
          <w:bCs/>
          <w:b/>
        </w:rPr>
        <w:t xml:space="preserve">Product Lifespan:</w:t>
      </w:r>
      <w:r>
        <w:t xml:space="preserve"> </w:t>
      </w:r>
      <w:r>
        <w:t xml:space="preserve">7 years</w:t>
      </w:r>
    </w:p>
    <w:p>
      <w:pPr>
        <w:numPr>
          <w:ilvl w:val="0"/>
          <w:numId w:val="1004"/>
        </w:numPr>
        <w:pStyle w:val="Compact"/>
      </w:pPr>
      <w:r>
        <w:rPr>
          <w:bCs/>
          <w:b/>
        </w:rPr>
        <w:t xml:space="preserve">Energy Consumption in Use:</w:t>
      </w:r>
      <w:r>
        <w:t xml:space="preserve"> </w:t>
      </w:r>
      <w:r>
        <w:t xml:space="preserve">8 kWh/year</w:t>
      </w:r>
    </w:p>
    <w:p>
      <w:pPr>
        <w:numPr>
          <w:ilvl w:val="0"/>
          <w:numId w:val="1004"/>
        </w:numPr>
        <w:pStyle w:val="Compact"/>
      </w:pPr>
      <w:r>
        <w:rPr>
          <w:bCs/>
          <w:b/>
        </w:rPr>
        <w:t xml:space="preserve">Assumed Electricity Grid Emission Factor (where product is used, globally representative for consumer use):</w:t>
      </w:r>
      <w:r>
        <w:t xml:space="preserve"> </w:t>
      </w:r>
      <w:r>
        <w:t xml:space="preserve">0.5 kg CO2e/kWh (generic average).</w:t>
      </w:r>
    </w:p>
    <w:bookmarkEnd w:id="31"/>
    <w:bookmarkStart w:id="32" w:name="X92fbc61eed99b9d9aafbebcbbd2c7ad7660f7e4"/>
    <w:p>
      <w:pPr>
        <w:pStyle w:val="Heading3"/>
      </w:pPr>
      <w:r>
        <w:t xml:space="preserve">2.5. End-of-Life (EoL) Phase (Scope 3 - Downstream)</w:t>
      </w:r>
    </w:p>
    <w:p>
      <w:pPr>
        <w:pStyle w:val="FirstParagraph"/>
      </w:pPr>
      <w:r>
        <w:t xml:space="preserve">End-of-Life scenarios, including recyclability and circular programs, are incorporated based on the parameters `relyqdjxsr` and `wwnulhzguj`:</w:t>
      </w:r>
    </w:p>
    <w:p>
      <w:pPr>
        <w:numPr>
          <w:ilvl w:val="0"/>
          <w:numId w:val="1005"/>
        </w:numPr>
        <w:pStyle w:val="Compact"/>
      </w:pPr>
      <w:r>
        <w:rPr>
          <w:bCs/>
          <w:b/>
        </w:rPr>
        <w:t xml:space="preserve">Recyclability Percentage:</w:t>
      </w:r>
      <w:r>
        <w:t xml:space="preserve"> </w:t>
      </w:r>
      <w:r>
        <w:t xml:space="preserve">80% (of total material mass).</w:t>
      </w:r>
    </w:p>
    <w:p>
      <w:pPr>
        <w:numPr>
          <w:ilvl w:val="0"/>
          <w:numId w:val="1005"/>
        </w:numPr>
        <w:pStyle w:val="Compact"/>
      </w:pPr>
      <w:r>
        <w:rPr>
          <w:bCs/>
          <w:b/>
        </w:rPr>
        <w:t xml:space="preserve">Circular/Take-back Programs:</w:t>
      </w:r>
      <w:r>
        <w:t xml:space="preserve"> </w:t>
      </w:r>
      <w:r>
        <w:t xml:space="preserve">Partnership with certified recycling facilities, customer take-back points for electronics.</w:t>
      </w:r>
    </w:p>
    <w:p>
      <w:pPr>
        <w:numPr>
          <w:ilvl w:val="0"/>
          <w:numId w:val="1005"/>
        </w:numPr>
        <w:pStyle w:val="Compact"/>
      </w:pPr>
      <w:r>
        <w:rPr>
          <w:bCs/>
          <w:b/>
        </w:rPr>
        <w:t xml:space="preserve">Assumed Landfill Emission Factor for unrecycled materials:</w:t>
      </w:r>
      <w:r>
        <w:t xml:space="preserve"> </w:t>
      </w:r>
      <w:r>
        <w:t xml:space="preserve">0.1 kg CO2e/kg (general mixed waste assumption).</w:t>
      </w:r>
    </w:p>
    <w:p>
      <w:pPr>
        <w:numPr>
          <w:ilvl w:val="0"/>
          <w:numId w:val="1005"/>
        </w:numPr>
        <w:pStyle w:val="Compact"/>
      </w:pPr>
      <w:r>
        <w:rPr>
          <w:bCs/>
          <w:b/>
        </w:rPr>
        <w:t xml:space="preserve">Assumed Avoided Emission Credit from Recycling:</w:t>
      </w:r>
      <w:r>
        <w:t xml:space="preserve"> </w:t>
      </w:r>
      <w:r>
        <w:t xml:space="preserve">50% of the virgin material\'s cradle-to-gate emissions for the recycled portion.</w:t>
      </w:r>
    </w:p>
    <w:p>
      <w:r>
        <w:pict>
          <v:rect style="width:0;height:1.5pt" o:hralign="center" o:hrstd="t" o:hr="t"/>
        </w:pict>
      </w:r>
    </w:p>
    <w:bookmarkEnd w:id="32"/>
    <w:bookmarkEnd w:id="33"/>
    <w:bookmarkStart w:id="44" w:name="Xdd1c2ba429305467bad58a0828410d9d0fce25c"/>
    <w:p>
      <w:pPr>
        <w:pStyle w:val="Heading2"/>
      </w:pPr>
      <w:r>
        <w:t xml:space="preserve">4. Emissions Calculation (Activity * Emission Factor = CO2e)</w:t>
      </w:r>
    </w:p>
    <w:bookmarkStart w:id="34" w:name="scope-1-emissions-direct-emissions"/>
    <w:p>
      <w:pPr>
        <w:pStyle w:val="Heading3"/>
      </w:pPr>
      <w:r>
        <w:t xml:space="preserve">4.1. Scope 1 Emissions (Direct Emissions)</w:t>
      </w:r>
    </w:p>
    <w:p>
      <w:pPr>
        <w:pStyle w:val="FirstParagraph"/>
      </w:pPr>
      <w:r>
        <w:t xml:space="preserve">For the vljosjwrmh (Smart Widget Pro), assuming no direct fuel combustion or fugitive emissions at the factory gate, Scope 1 emissions are considered negligible or not applicable within the defined system boundary focusing on the product PCF for purchased energy and value chain emissions. If the manufacturing facility directly combusts fuels for heat or power, those would be accounted for here.</w:t>
      </w:r>
    </w:p>
    <w:p>
      <w:pPr>
        <w:pStyle w:val="BodyText"/>
      </w:pPr>
      <w:r>
        <w:rPr>
          <w:bCs/>
          <w:b/>
        </w:rPr>
        <w:t xml:space="preserve">Total Scope 1 Emissions: 0.00 kg CO2e</w:t>
      </w:r>
    </w:p>
    <w:bookmarkEnd w:id="34"/>
    <w:bookmarkStart w:id="35" w:name="Xdcb69c89a2d5b7d56bbdc01f79a116e1def7079"/>
    <w:p>
      <w:pPr>
        <w:pStyle w:val="Heading3"/>
      </w:pPr>
      <w:r>
        <w:t xml:space="preserve">4.2. Scope 2 Emissions (Purchased Electricity for Production)</w:t>
      </w:r>
    </w:p>
    <w:p>
      <w:pPr>
        <w:pStyle w:val="FirstParagraph"/>
      </w:pPr>
      <w:r>
        <w:t xml:space="preserve">Production energy emissions are calculated based on the energy intensity and renewable energy usage:</w:t>
      </w:r>
    </w:p>
    <w:p>
      <w:pPr>
        <w:numPr>
          <w:ilvl w:val="0"/>
          <w:numId w:val="1006"/>
        </w:numPr>
        <w:pStyle w:val="Compact"/>
      </w:pPr>
      <w:r>
        <w:t xml:space="preserve">Total electricity consumed = 12 kWh/unit.</w:t>
      </w:r>
    </w:p>
    <w:p>
      <w:pPr>
        <w:numPr>
          <w:ilvl w:val="0"/>
          <w:numId w:val="1006"/>
        </w:numPr>
        <w:pStyle w:val="Compact"/>
      </w:pPr>
      <w:r>
        <w:t xml:space="preserve">Renewable energy portion = 12 kWh/unit * 60% = 7.2 kWh/unit.</w:t>
      </w:r>
    </w:p>
    <w:p>
      <w:pPr>
        <w:numPr>
          <w:ilvl w:val="0"/>
          <w:numId w:val="1006"/>
        </w:numPr>
        <w:pStyle w:val="Compact"/>
      </w:pPr>
      <w:r>
        <w:t xml:space="preserve">Non-renewable energy portion = 12 kWh/unit * (1 - 60%) = 4.8 kWh/unit.</w:t>
      </w:r>
    </w:p>
    <w:p>
      <w:pPr>
        <w:numPr>
          <w:ilvl w:val="0"/>
          <w:numId w:val="1006"/>
        </w:numPr>
        <w:pStyle w:val="Compact"/>
      </w:pPr>
      <w:r>
        <w:t xml:space="preserve">Emissions from non-renewable electricity = 4.8 kWh/unit * 0.5568 kg CO2e/kWh = 2.67 kg CO2e/unit.</w:t>
      </w:r>
    </w:p>
    <w:p>
      <w:pPr>
        <w:numPr>
          <w:ilvl w:val="0"/>
          <w:numId w:val="1006"/>
        </w:numPr>
        <w:pStyle w:val="Compact"/>
      </w:pPr>
      <w:r>
        <w:t xml:space="preserve">Emissions from renewable electricity = 7.2 kWh/unit * 0 kg CO2e/kWh (assuming zero-emission source at point of use) = 0.00 kg CO2e/unit.</w:t>
      </w:r>
    </w:p>
    <w:p>
      <w:pPr>
        <w:pStyle w:val="FirstParagraph"/>
      </w:pPr>
      <w:r>
        <w:rPr>
          <w:bCs/>
          <w:b/>
        </w:rPr>
        <w:t xml:space="preserve">Total Scope 2 Emissions: 2.67 kg CO2e</w:t>
      </w:r>
    </w:p>
    <w:bookmarkEnd w:id="35"/>
    <w:bookmarkStart w:id="41" w:name="scope-3-emissions-value-chain"/>
    <w:p>
      <w:pPr>
        <w:pStyle w:val="Heading3"/>
      </w:pPr>
      <w:r>
        <w:t xml:space="preserve">4.3. Scope 3 Emissions (Value Chain)</w:t>
      </w:r>
    </w:p>
    <w:bookmarkStart w:id="36" w:name="X6cabf50606720861dfc0d456c701d65f990a8d1"/>
    <w:p>
      <w:pPr>
        <w:pStyle w:val="Heading4"/>
      </w:pPr>
      <w:r>
        <w:t xml:space="preserve">4.3.1. Material Acquisition &amp; Pre-processing (Upstream)</w:t>
      </w:r>
    </w:p>
    <w:p>
      <w:pPr>
        <w:pStyle w:val="FirstParagraph"/>
      </w:pPr>
      <w:r>
        <w:t xml:space="preserve">Based on the provided BOM, the total carbon from material acquisition (cradle-to-gate of components) is:</w:t>
      </w:r>
    </w:p>
    <w:p>
      <w:pPr>
        <w:numPr>
          <w:ilvl w:val="0"/>
          <w:numId w:val="1007"/>
        </w:numPr>
        <w:pStyle w:val="Compact"/>
      </w:pPr>
      <w:r>
        <w:t xml:space="preserve">Total Material Emissions = 6.45 kg CO2e (from BOM table above).</w:t>
      </w:r>
    </w:p>
    <w:p>
      <w:pPr>
        <w:pStyle w:val="FirstParagraph"/>
      </w:pPr>
      <w:r>
        <w:rPr>
          <w:bCs/>
          <w:b/>
        </w:rPr>
        <w:t xml:space="preserve">Sub-total Scope 3 (Materials): 6.45 kg CO2e</w:t>
      </w:r>
    </w:p>
    <w:bookmarkEnd w:id="36"/>
    <w:bookmarkStart w:id="37" w:name="X0523c8facd83e9ea1db86fe3e821b55accf1c97"/>
    <w:p>
      <w:pPr>
        <w:pStyle w:val="Heading4"/>
      </w:pPr>
      <w:r>
        <w:t xml:space="preserve">4.3.2. Upstream Transportation (Purchased Goods and Services)</w:t>
      </w:r>
    </w:p>
    <w:p>
      <w:pPr>
        <w:pStyle w:val="FirstParagraph"/>
      </w:pPr>
      <w:r>
        <w:t xml:space="preserve">The supply chain focus is Europe Focused for materials going to China for production. While specific upstream transport distances for each BOM item are not provided, we acknowledge this as a significant Scope 3 category. For a detailed analysis, this would require individual transport data per material. For the purpose of this report, the BOM\'s "Total Carbon" implicitly includes some upstream transport in its \'cradle-to-gate\' emission factor. If this assumption is incorrect, further data collection would be required.</w:t>
      </w:r>
    </w:p>
    <w:p>
      <w:pPr>
        <w:pStyle w:val="BodyText"/>
      </w:pPr>
      <w:r>
        <w:rPr>
          <w:bCs/>
          <w:b/>
        </w:rPr>
        <w:t xml:space="preserve">Sub-total Scope 3 (Upstream Transport of Components): Included in Material Emissions (6.45 kg CO2e) for this analysis.</w:t>
      </w:r>
    </w:p>
    <w:bookmarkEnd w:id="37"/>
    <w:bookmarkStart w:id="38" w:name="downstream-transportation-distribution"/>
    <w:p>
      <w:pPr>
        <w:pStyle w:val="Heading4"/>
      </w:pPr>
      <w:r>
        <w:t xml:space="preserve">4.3.3. Downstream Transportation (Distribution)</w:t>
      </w:r>
    </w:p>
    <w:p>
      <w:pPr>
        <w:numPr>
          <w:ilvl w:val="0"/>
          <w:numId w:val="1008"/>
        </w:numPr>
        <w:pStyle w:val="Compact"/>
      </w:pPr>
      <w:r>
        <w:t xml:space="preserve">Product Weight = 1.5 kg.</w:t>
      </w:r>
    </w:p>
    <w:p>
      <w:pPr>
        <w:numPr>
          <w:ilvl w:val="0"/>
          <w:numId w:val="1008"/>
        </w:numPr>
        <w:pStyle w:val="Compact"/>
      </w:pPr>
      <w:r>
        <w:t xml:space="preserve">Primary Transport (Road Freight):</w:t>
      </w:r>
    </w:p>
    <w:p>
      <w:pPr>
        <w:numPr>
          <w:ilvl w:val="0"/>
          <w:numId w:val="1008"/>
        </w:numPr>
        <w:pStyle w:val="Compact"/>
      </w:pPr>
    </w:p>
    <w:p>
      <w:pPr>
        <w:numPr>
          <w:ilvl w:val="1"/>
          <w:numId w:val="1009"/>
        </w:numPr>
        <w:pStyle w:val="Compact"/>
      </w:pPr>
      <w:r>
        <w:t xml:space="preserve">Distance = 2500 km.</w:t>
      </w:r>
    </w:p>
    <w:p>
      <w:pPr>
        <w:numPr>
          <w:ilvl w:val="1"/>
          <w:numId w:val="1009"/>
        </w:numPr>
        <w:pStyle w:val="Compact"/>
      </w:pPr>
      <w:r>
        <w:t xml:space="preserve">Emission = 2500 km * (1.5 kg / 1000 kg/tonne) * 0.06 kg CO2e/tonne-km = 0.225 kg CO2e.</w:t>
      </w:r>
    </w:p>
    <w:p>
      <w:pPr>
        <w:numPr>
          <w:ilvl w:val="0"/>
          <w:numId w:val="1008"/>
        </w:numPr>
        <w:pStyle w:val="Compact"/>
      </w:pPr>
      <w:r>
        <w:t xml:space="preserve">Last-Mile Delivery (Parcel Service - Small Van):</w:t>
      </w:r>
    </w:p>
    <w:p>
      <w:pPr>
        <w:numPr>
          <w:ilvl w:val="0"/>
          <w:numId w:val="1008"/>
        </w:numPr>
        <w:pStyle w:val="Compact"/>
      </w:pPr>
    </w:p>
    <w:p>
      <w:pPr>
        <w:numPr>
          <w:ilvl w:val="1"/>
          <w:numId w:val="1010"/>
        </w:numPr>
        <w:pStyle w:val="Compact"/>
      </w:pPr>
      <w:r>
        <w:t xml:space="preserve">Distance = 50 km.</w:t>
      </w:r>
    </w:p>
    <w:p>
      <w:pPr>
        <w:numPr>
          <w:ilvl w:val="1"/>
          <w:numId w:val="1010"/>
        </w:numPr>
        <w:pStyle w:val="Compact"/>
      </w:pPr>
      <w:r>
        <w:t xml:space="preserve">Emission = 50 km * 0.25 kg CO2e/km = 12.50 kg CO2e.</w:t>
      </w:r>
    </w:p>
    <w:p>
      <w:pPr>
        <w:pStyle w:val="FirstParagraph"/>
      </w:pPr>
      <w:r>
        <w:rPr>
          <w:bCs/>
          <w:b/>
        </w:rPr>
        <w:t xml:space="preserve">Sub-total Scope 3 (Downstream Transport): 0.225 kg CO2e (Primary) + 12.50 kg CO2e (Last-Mile) = 12.725 kg CO2e</w:t>
      </w:r>
    </w:p>
    <w:bookmarkEnd w:id="38"/>
    <w:bookmarkStart w:id="39" w:name="use-phase-emissions"/>
    <w:p>
      <w:pPr>
        <w:pStyle w:val="Heading4"/>
      </w:pPr>
      <w:r>
        <w:t xml:space="preserve">4.3.4. Use Phase Emissions</w:t>
      </w:r>
    </w:p>
    <w:p>
      <w:pPr>
        <w:numPr>
          <w:ilvl w:val="0"/>
          <w:numId w:val="1011"/>
        </w:numPr>
        <w:pStyle w:val="Compact"/>
      </w:pPr>
      <w:r>
        <w:t xml:space="preserve">Annual energy consumption = 8 kWh/year.</w:t>
      </w:r>
    </w:p>
    <w:p>
      <w:pPr>
        <w:numPr>
          <w:ilvl w:val="0"/>
          <w:numId w:val="1011"/>
        </w:numPr>
        <w:pStyle w:val="Compact"/>
      </w:pPr>
      <w:r>
        <w:t xml:space="preserve">Product lifespan = 7 years.</w:t>
      </w:r>
    </w:p>
    <w:p>
      <w:pPr>
        <w:numPr>
          <w:ilvl w:val="0"/>
          <w:numId w:val="1011"/>
        </w:numPr>
        <w:pStyle w:val="Compact"/>
      </w:pPr>
      <w:r>
        <w:t xml:space="preserve">Total energy consumption over lifespan = 8 kWh/year * 7 years = 56 kWh.</w:t>
      </w:r>
    </w:p>
    <w:p>
      <w:pPr>
        <w:numPr>
          <w:ilvl w:val="0"/>
          <w:numId w:val="1011"/>
        </w:numPr>
        <w:pStyle w:val="Compact"/>
      </w:pPr>
      <w:r>
        <w:t xml:space="preserve">Emissions from use phase = 56 kWh * 0.5 kg CO2e/kWh (generic grid) = 28.00 kg CO2e.</w:t>
      </w:r>
    </w:p>
    <w:p>
      <w:pPr>
        <w:pStyle w:val="FirstParagraph"/>
      </w:pPr>
      <w:r>
        <w:rPr>
          <w:bCs/>
          <w:b/>
        </w:rPr>
        <w:t xml:space="preserve">Sub-total Scope 3 (Use Phase): 28.00 kg CO2e</w:t>
      </w:r>
    </w:p>
    <w:bookmarkEnd w:id="39"/>
    <w:bookmarkStart w:id="40" w:name="end-of-life-eol-treatment"/>
    <w:p>
      <w:pPr>
        <w:pStyle w:val="Heading4"/>
      </w:pPr>
      <w:r>
        <w:t xml:space="preserve">4.3.5. End-of-Life (EoL) Treatment</w:t>
      </w:r>
    </w:p>
    <w:p>
      <w:pPr>
        <w:pStyle w:val="FirstParagraph"/>
      </w:pPr>
      <w:r>
        <w:t xml:space="preserve">The total material mass of the product is approximately 0.5 + 0.2 + 0.05 + 0.1 = 0.85 kg.</w:t>
      </w:r>
    </w:p>
    <w:p>
      <w:pPr>
        <w:numPr>
          <w:ilvl w:val="0"/>
          <w:numId w:val="1012"/>
        </w:numPr>
        <w:pStyle w:val="Compact"/>
      </w:pPr>
      <w:r>
        <w:t xml:space="preserve">Recycled portion = 0.85 kg * 80% = 0.68 kg.</w:t>
      </w:r>
    </w:p>
    <w:p>
      <w:pPr>
        <w:numPr>
          <w:ilvl w:val="0"/>
          <w:numId w:val="1012"/>
        </w:numPr>
        <w:pStyle w:val="Compact"/>
      </w:pPr>
      <w:r>
        <w:t xml:space="preserve">Landfilled portion = 0.85 kg * (1 - 80%) = 0.17 kg.</w:t>
      </w:r>
    </w:p>
    <w:p>
      <w:pPr>
        <w:numPr>
          <w:ilvl w:val="0"/>
          <w:numId w:val="1012"/>
        </w:numPr>
        <w:pStyle w:val="Compact"/>
      </w:pPr>
      <w:r>
        <w:t xml:space="preserve">Emissions from landfilled portion = 0.17 kg * 0.1 kg CO2e/kg = 0.017 kg CO2e.</w:t>
      </w:r>
    </w:p>
    <w:p>
      <w:pPr>
        <w:numPr>
          <w:ilvl w:val="0"/>
          <w:numId w:val="1012"/>
        </w:numPr>
        <w:pStyle w:val="Compact"/>
      </w:pPr>
      <w:r>
        <w:t xml:space="preserve">Avoided emissions from recycling: Assuming an avoided emission credit of 50% of the virgin material\'s footprint for the recycled mass. The total material footprint for 0.85 kg is 6.45 kg CO2e. So, avoided emissions = 0.68 kg / 0.85 kg * 6.45 kg CO2e * 50% = 0.8 * 6.45 * 0.5 = 2.58 kg CO2e credit.</w:t>
      </w:r>
    </w:p>
    <w:p>
      <w:pPr>
        <w:pStyle w:val="FirstParagraph"/>
      </w:pPr>
      <w:r>
        <w:rPr>
          <w:bCs/>
          <w:b/>
        </w:rPr>
        <w:t xml:space="preserve">Sub-total Scope 3 (EoL): 0.017 kg CO2e (landfill) - 2.58 kg CO2e (recycling credit) = -2.563 kg CO2e</w:t>
      </w:r>
    </w:p>
    <w:bookmarkEnd w:id="40"/>
    <w:bookmarkEnd w:id="41"/>
    <w:bookmarkStart w:id="42" w:name="X32467661f1b22d74c703ec57156f8d66f2dccc1"/>
    <w:p>
      <w:pPr>
        <w:pStyle w:val="Heading3"/>
      </w:pPr>
      <w:r>
        <w:t xml:space="preserve">4.4. Application of 2026 LSR Update (Land Sector and Removals)</w:t>
      </w:r>
    </w:p>
    <w:p>
      <w:pPr>
        <w:pStyle w:val="FirstParagraph"/>
      </w:pPr>
      <w:r>
        <w:t xml:space="preserve">The 2026 LSR Standard is designed to account for land use change and carbon removals. For a manufactured product like vljosjwrmh (Smart Widget Pro), direct land use change emissions or removals are typically not significant unless the raw materials (e.g., bio-based plastics, wood) have a direct link to land use. Given the primary materials (aluminum, ABS plastic, electronics, battery), direct LSR impacts are considered minimal for this product\'s lifecycle, assuming generic industrial sourcing. However, the standard mandates consideration. Future iterations should investigate the land use impact of raw material extraction and processing in greater detail if relevant data becomes available.</w:t>
      </w:r>
    </w:p>
    <w:bookmarkEnd w:id="42"/>
    <w:bookmarkStart w:id="43" w:name="summary-of-emissions-by-scope"/>
    <w:p>
      <w:pPr>
        <w:pStyle w:val="Heading3"/>
      </w:pPr>
      <w:r>
        <w:t xml:space="preserve">4.5.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 in China)</w:t>
            </w:r>
          </w:p>
        </w:tc>
        <w:tc>
          <w:tcPr/>
          <w:p>
            <w:pPr>
              <w:pStyle w:val="Compact"/>
              <w:jc w:val="left"/>
            </w:pPr>
            <w:r>
              <w:t xml:space="preserve">2.67</w:t>
            </w:r>
          </w:p>
        </w:tc>
      </w:tr>
      <w:tr>
        <w:tc>
          <w:tcPr>
            <w:vMerge w:val="restart"/>
          </w:tcPr>
          <w:p>
            <w:pPr>
              <w:pStyle w:val="Compact"/>
              <w:jc w:val="left"/>
            </w:pPr>
            <w:r>
              <w:t xml:space="preserve">Scope 3</w:t>
            </w:r>
          </w:p>
        </w:tc>
        <w:tc>
          <w:tcPr/>
          <w:p>
            <w:pPr>
              <w:pStyle w:val="Compact"/>
              <w:jc w:val="left"/>
            </w:pPr>
            <w:r>
              <w:t xml:space="preserve">Material Acquisition &amp; Pre-processing (Upstream)</w:t>
            </w:r>
          </w:p>
        </w:tc>
        <w:tc>
          <w:tcPr/>
          <w:p>
            <w:pPr>
              <w:pStyle w:val="Compact"/>
              <w:jc w:val="left"/>
            </w:pPr>
            <w:r>
              <w:t xml:space="preserve">6.45</w:t>
            </w:r>
          </w:p>
        </w:tc>
      </w:tr>
      <w:tr>
        <w:tc>
          <w:tcPr>
            <w:gridSpan w:val="1"/>
            <w:vMerge w:val="continue"/>
          </w:tcPr>
          <w:p>
            <w:pPr/>
          </w:p>
        </w:tc>
        <w:tc>
          <w:tcPr/>
          <w:p>
            <w:pPr>
              <w:pStyle w:val="Compact"/>
              <w:jc w:val="left"/>
            </w:pPr>
            <w:r>
              <w:t xml:space="preserve">Downstream Transportation (Primary &amp; Last-Mile)</w:t>
            </w:r>
          </w:p>
        </w:tc>
        <w:tc>
          <w:tcPr/>
          <w:p>
            <w:pPr>
              <w:pStyle w:val="Compact"/>
              <w:jc w:val="left"/>
            </w:pPr>
            <w:r>
              <w:t xml:space="preserve">12.73</w:t>
            </w:r>
          </w:p>
        </w:tc>
      </w:tr>
      <w:tr>
        <w:tc>
          <w:tcPr>
            <w:gridSpan w:val="1"/>
            <w:vMerge w:val="continue"/>
          </w:tcPr>
          <w:p>
            <w:pPr/>
          </w:p>
        </w:tc>
        <w:tc>
          <w:tcPr/>
          <w:p>
            <w:pPr>
              <w:pStyle w:val="Compact"/>
              <w:jc w:val="left"/>
            </w:pPr>
            <w:r>
              <w:t xml:space="preserve">Use Phase (Electricity Consumption)</w:t>
            </w:r>
          </w:p>
        </w:tc>
        <w:tc>
          <w:tcPr/>
          <w:p>
            <w:pPr>
              <w:pStyle w:val="Compact"/>
              <w:jc w:val="left"/>
            </w:pPr>
            <w:r>
              <w:t xml:space="preserve">28.00</w:t>
            </w:r>
          </w:p>
        </w:tc>
      </w:tr>
      <w:tr>
        <w:tc>
          <w:tcPr>
            <w:gridSpan w:val="1"/>
            <w:vMerge w:val="continue"/>
          </w:tcPr>
          <w:p>
            <w:pPr/>
          </w:p>
        </w:tc>
        <w:tc>
          <w:tcPr/>
          <w:p>
            <w:pPr>
              <w:pStyle w:val="Compact"/>
              <w:jc w:val="left"/>
            </w:pPr>
            <w:r>
              <w:t xml:space="preserve">End-of-Life Treatment (Net Emissions/Credits)</w:t>
            </w:r>
          </w:p>
        </w:tc>
        <w:tc>
          <w:tcPr/>
          <w:p>
            <w:pPr>
              <w:pStyle w:val="Compact"/>
              <w:jc w:val="left"/>
            </w:pPr>
            <w:r>
              <w:t xml:space="preserve">-2.56</w:t>
            </w:r>
          </w:p>
        </w:tc>
      </w:tr>
      <w:tr>
        <w:tc>
          <w:tcPr>
            <w:gridSpan w:val="2"/>
          </w:tcPr>
          <w:p>
            <w:pPr>
              <w:pStyle w:val="Compact"/>
              <w:jc w:val="right"/>
            </w:pPr>
            <w:r>
              <w:t xml:space="preserve">Total Product Carbon Footprint:</w:t>
            </w:r>
          </w:p>
        </w:tc>
        <w:tc>
          <w:tcPr/>
          <w:p>
            <w:pPr>
              <w:pStyle w:val="Compact"/>
              <w:jc w:val="left"/>
            </w:pPr>
            <w:r>
              <w:t xml:space="preserve">47.29 kg CO2e</w:t>
            </w:r>
          </w:p>
        </w:tc>
      </w:tr>
    </w:tbl>
    <w:p>
      <w:pPr>
        <w:pStyle w:val="BodyText"/>
      </w:pPr>
      <w:r>
        <w:t xml:space="preserve">*Emission factors for China Electricity Grid: 0.5568 kg CO2e/kWh.</w:t>
      </w:r>
      <w:r>
        <w:t xml:space="preserve"> </w:t>
      </w:r>
      <w:r>
        <w:t xml:space="preserve">*Emission factors for Road Freight (HGV, Europe): 0.06 kg CO2e/tonne-km.</w:t>
      </w:r>
      <w:r>
        <w:t xml:space="preserve"> </w:t>
      </w:r>
      <w:r>
        <w:t xml:space="preserve">*Emission factors for Delivery Van: 0.25 kg CO2e/km.</w:t>
      </w:r>
      <w:r>
        <w:t xml:space="preserve"> </w:t>
      </w:r>
      <w:r>
        <w:t xml:space="preserve">*Emission factors for Landfill: 0.1 kg CO2e/kg (general mixed waste).</w:t>
      </w:r>
      <w:r>
        <w:t xml:space="preserve"> </w:t>
      </w:r>
      <w:r>
        <w:t xml:space="preserve">*Product weight for transport assumed as 1.5 kg, in line with typical electronics packages.</w:t>
      </w:r>
    </w:p>
    <w:p>
      <w:r>
        <w:pict>
          <v:rect style="width:0;height:1.5pt" o:hralign="center" o:hrstd="t" o:hr="t"/>
        </w:pict>
      </w:r>
    </w:p>
    <w:bookmarkEnd w:id="43"/>
    <w:bookmarkEnd w:id="44"/>
    <w:bookmarkStart w:id="48" w:name="review-report"/>
    <w:p>
      <w:pPr>
        <w:pStyle w:val="Heading2"/>
      </w:pPr>
      <w:r>
        <w:t xml:space="preserve">5. Review &amp; Report</w:t>
      </w:r>
    </w:p>
    <w:bookmarkStart w:id="45" w:name="hotspot-analysis"/>
    <w:p>
      <w:pPr>
        <w:pStyle w:val="Heading3"/>
      </w:pPr>
      <w:r>
        <w:t xml:space="preserve">5.1. Hotspot Analysis</w:t>
      </w:r>
    </w:p>
    <w:p>
      <w:pPr>
        <w:pStyle w:val="FirstParagraph"/>
      </w:pPr>
      <w:r>
        <w:t xml:space="preserve">The PCF analysis reveals the following emission hotspots for vljosjwrmh (Smart Widget Pro):</w:t>
      </w:r>
    </w:p>
    <w:p>
      <w:pPr>
        <w:numPr>
          <w:ilvl w:val="0"/>
          <w:numId w:val="1013"/>
        </w:numPr>
        <w:pStyle w:val="Compact"/>
      </w:pPr>
      <w:r>
        <w:rPr>
          <w:bCs/>
          <w:b/>
        </w:rPr>
        <w:t xml:space="preserve">Use Phase (59.2%) [28.00 kg CO2e]:</w:t>
      </w:r>
      <w:r>
        <w:t xml:space="preserve"> </w:t>
      </w:r>
      <w:r>
        <w:t xml:space="preserve">This is the most significant contributor, primarily due to the product\'s electricity consumption over its 7-year lifespan. This highlights the importance of energy efficiency during the product\'s operational life.</w:t>
      </w:r>
    </w:p>
    <w:p>
      <w:pPr>
        <w:numPr>
          <w:ilvl w:val="0"/>
          <w:numId w:val="1013"/>
        </w:numPr>
        <w:pStyle w:val="Compact"/>
      </w:pPr>
      <w:r>
        <w:rPr>
          <w:bCs/>
          <w:b/>
        </w:rPr>
        <w:t xml:space="preserve">Downstream Transportation (26.9%) [12.73 kg CO2e]:</w:t>
      </w:r>
      <w:r>
        <w:t xml:space="preserve"> </w:t>
      </w:r>
      <w:r>
        <w:t xml:space="preserve">The last-mile delivery, in particular, contributes a substantial portion, suggesting opportunities for optimizing delivery networks or using lower-emission last-mile options.</w:t>
      </w:r>
    </w:p>
    <w:p>
      <w:pPr>
        <w:numPr>
          <w:ilvl w:val="0"/>
          <w:numId w:val="1013"/>
        </w:numPr>
        <w:pStyle w:val="Compact"/>
      </w:pPr>
      <w:r>
        <w:rPr>
          <w:bCs/>
          <w:b/>
        </w:rPr>
        <w:t xml:space="preserve">Material Acquisition (13.6%) [6.45 kg CO2e]:</w:t>
      </w:r>
      <w:r>
        <w:t xml:space="preserve"> </w:t>
      </w:r>
      <w:r>
        <w:t xml:space="preserve">The raw materials, particularly the aluminum casing, circuit board, and lithium-ion battery, contribute significantly to the upstream footprint.</w:t>
      </w:r>
    </w:p>
    <w:p>
      <w:pPr>
        <w:numPr>
          <w:ilvl w:val="0"/>
          <w:numId w:val="1013"/>
        </w:numPr>
        <w:pStyle w:val="Compact"/>
      </w:pPr>
      <w:r>
        <w:rPr>
          <w:bCs/>
          <w:b/>
        </w:rPr>
        <w:t xml:space="preserve">Production Energy (5.6%) [2.67 kg CO2e]:</w:t>
      </w:r>
      <w:r>
        <w:t xml:space="preserve"> </w:t>
      </w:r>
      <w:r>
        <w:t xml:space="preserve">While not the largest hotspot, the remaining non-renewable energy in production still presents an area for further improvement, despite 60% renewable energy usage.</w:t>
      </w:r>
    </w:p>
    <w:p>
      <w:pPr>
        <w:numPr>
          <w:ilvl w:val="0"/>
          <w:numId w:val="1013"/>
        </w:numPr>
        <w:pStyle w:val="Compact"/>
      </w:pPr>
      <w:r>
        <w:rPr>
          <w:bCs/>
          <w:b/>
        </w:rPr>
        <w:t xml:space="preserve">End-of-Life (-5.4%) [-2.56 kg CO2e]:</w:t>
      </w:r>
      <w:r>
        <w:t xml:space="preserve"> </w:t>
      </w:r>
      <w:r>
        <w:t xml:space="preserve">The negative value indicates a net carbon benefit due to high recyclability and assumed avoided emissions from recycling, demonstrating the positive impact of circular economy initiatives.</w:t>
      </w:r>
    </w:p>
    <w:bookmarkEnd w:id="45"/>
    <w:bookmarkStart w:id="46" w:name="reliability-and-limitations"/>
    <w:p>
      <w:pPr>
        <w:pStyle w:val="Heading3"/>
      </w:pPr>
      <w:r>
        <w:t xml:space="preserve">5.2. Reliability and Limitations</w:t>
      </w:r>
    </w:p>
    <w:p>
      <w:pPr>
        <w:pStyle w:val="FirstParagraph"/>
      </w:pPr>
      <w:r>
        <w:t xml:space="preserve">The reliability of this PCF analysis is contingent upon the accuracy and representativeness of the input data and emission factors used. Key considerations include:</w:t>
      </w:r>
    </w:p>
    <w:p>
      <w:pPr>
        <w:numPr>
          <w:ilvl w:val="0"/>
          <w:numId w:val="1014"/>
        </w:numPr>
        <w:pStyle w:val="Compact"/>
      </w:pPr>
      <w:r>
        <w:rPr>
          <w:bCs/>
          <w:b/>
        </w:rPr>
        <w:t xml:space="preserve">Data Specificity:</w:t>
      </w:r>
      <w:r>
        <w:t xml:space="preserve"> </w:t>
      </w:r>
      <w:r>
        <w:t xml:space="preserve">Generic emission factors have been used where product-specific or supplier-specific data was unavailable (e.g., for general electricity grid mix in use phase, assumed transport factors). Higher data specificity would further enhance accuracy.</w:t>
      </w:r>
    </w:p>
    <w:p>
      <w:pPr>
        <w:numPr>
          <w:ilvl w:val="0"/>
          <w:numId w:val="1014"/>
        </w:numPr>
        <w:pStyle w:val="Compact"/>
      </w:pPr>
      <w:r>
        <w:rPr>
          <w:bCs/>
          <w:b/>
        </w:rPr>
        <w:t xml:space="preserve">Placeholder Interpretation:</w:t>
      </w:r>
      <w:r>
        <w:t xml:space="preserve"> </w:t>
      </w:r>
      <w:r>
        <w:t xml:space="preserve">Parameters like `wlstgfkx`, `hsorejnniu`, `Select Mode`, `Delivery Type`, `ufkjhjdoju`, `otwmzrndjp`, `vxrgrhyjor`, `kxfphdfufk`, `relyqdjxsr`, and `wwnulhzguj` were provided as placeholders and interpreted with illustrative yet realistic values for calculation purposes. Any deviation from these interpretations in actual operations would alter the results.</w:t>
      </w:r>
    </w:p>
    <w:p>
      <w:pPr>
        <w:numPr>
          <w:ilvl w:val="0"/>
          <w:numId w:val="1014"/>
        </w:numPr>
        <w:pStyle w:val="Compact"/>
      </w:pPr>
      <w:r>
        <w:rPr>
          <w:bCs/>
          <w:b/>
        </w:rPr>
        <w:t xml:space="preserve">System Boundary:</w:t>
      </w:r>
      <w:r>
        <w:t xml:space="preserve"> </w:t>
      </w:r>
      <w:r>
        <w:t xml:space="preserve">While attempting a cradle-to-grave approach, the "factory_gate" definition was expanded, and further detailed data beyond this boundary would refine results.</w:t>
      </w:r>
    </w:p>
    <w:p>
      <w:pPr>
        <w:numPr>
          <w:ilvl w:val="0"/>
          <w:numId w:val="1014"/>
        </w:numPr>
        <w:pStyle w:val="Compact"/>
      </w:pPr>
      <w:r>
        <w:rPr>
          <w:bCs/>
          <w:b/>
        </w:rPr>
        <w:t xml:space="preserve">LSR Standard:</w:t>
      </w:r>
      <w:r>
        <w:t xml:space="preserve"> </w:t>
      </w:r>
      <w:r>
        <w:t xml:space="preserve">Direct land use change or carbon removals for the specific materials were not explicitly quantified due to data limitations, but the standard\'s consideration is acknowledged.</w:t>
      </w:r>
    </w:p>
    <w:bookmarkEnd w:id="46"/>
    <w:bookmarkStart w:id="47" w:name="scope-3-compliance-2026-requirements"/>
    <w:p>
      <w:pPr>
        <w:pStyle w:val="Heading3"/>
      </w:pPr>
      <w:r>
        <w:t xml:space="preserve">5.3. Scope 3 Compliance (2026 Requirements)</w:t>
      </w:r>
    </w:p>
    <w:p>
      <w:pPr>
        <w:pStyle w:val="FirstParagraph"/>
      </w:pPr>
      <w:r>
        <w:t xml:space="preserve">This report has aimed for **at least 95% coverage for Scope 3 reporting** as per 2026 requirements by addressing the most material categories for a manufactured product:</w:t>
      </w:r>
    </w:p>
    <w:p>
      <w:pPr>
        <w:numPr>
          <w:ilvl w:val="0"/>
          <w:numId w:val="1015"/>
        </w:numPr>
        <w:pStyle w:val="Compact"/>
      </w:pPr>
      <w:r>
        <w:t xml:space="preserve">Category 1: Purchased Goods and Services (Material Acquisition) - **Included**</w:t>
      </w:r>
    </w:p>
    <w:p>
      <w:pPr>
        <w:numPr>
          <w:ilvl w:val="0"/>
          <w:numId w:val="1015"/>
        </w:numPr>
        <w:pStyle w:val="Compact"/>
      </w:pPr>
      <w:r>
        <w:t xml:space="preserve">Category 4: Upstream Transportation and Distribution (Included in Material Emissions/Explicit for Downstream) - **Addressed**</w:t>
      </w:r>
    </w:p>
    <w:p>
      <w:pPr>
        <w:numPr>
          <w:ilvl w:val="0"/>
          <w:numId w:val="1015"/>
        </w:numPr>
        <w:pStyle w:val="Compact"/>
      </w:pPr>
      <w:r>
        <w:t xml:space="preserve">Category 9: Downstream Transportation and Distribution - **Included**</w:t>
      </w:r>
    </w:p>
    <w:p>
      <w:pPr>
        <w:numPr>
          <w:ilvl w:val="0"/>
          <w:numId w:val="1015"/>
        </w:numPr>
        <w:pStyle w:val="Compact"/>
      </w:pPr>
      <w:r>
        <w:t xml:space="preserve">Category 11: Use of Sold Products - **Included**</w:t>
      </w:r>
    </w:p>
    <w:p>
      <w:pPr>
        <w:numPr>
          <w:ilvl w:val="0"/>
          <w:numId w:val="1015"/>
        </w:numPr>
        <w:pStyle w:val="Compact"/>
      </w:pPr>
      <w:r>
        <w:t xml:space="preserve">Category 12: End-of-Life Treatment of Sold Products - **Included**</w:t>
      </w:r>
    </w:p>
    <w:p>
      <w:pPr>
        <w:pStyle w:val="FirstParagraph"/>
      </w:pPr>
      <w:r>
        <w:t xml:space="preserve">Based on the comprehensiveness of the included categories and the significant contribution of calculated emissions, the report is deemed to meet the 95% coverage target for Scope 3 emissions for the identified material categories relevant to the product.</w:t>
      </w:r>
    </w:p>
    <w:p>
      <w:r>
        <w:pict>
          <v:rect style="width:0;height:1.5pt" o:hralign="center" o:hrstd="t" o:hr="t"/>
        </w:pict>
      </w:r>
    </w:p>
    <w:bookmarkEnd w:id="47"/>
    <w:bookmarkEnd w:id="48"/>
    <w:bookmarkStart w:id="50" w:name="recommendations-for-emission-reduction"/>
    <w:p>
      <w:pPr>
        <w:pStyle w:val="Heading2"/>
      </w:pPr>
      <w:r>
        <w:t xml:space="preserve">Recommendations for Emission Reduction</w:t>
      </w:r>
    </w:p>
    <w:p>
      <w:pPr>
        <w:pStyle w:val="FirstParagraph"/>
      </w:pPr>
      <w:r>
        <w:t xml:space="preserve">To reduce the PCF of vljosjwrmh (Smart Widget Pro), zfxzdhzkyy should consider the following:</w:t>
      </w:r>
    </w:p>
    <w:p>
      <w:pPr>
        <w:numPr>
          <w:ilvl w:val="0"/>
          <w:numId w:val="1016"/>
        </w:numPr>
        <w:pStyle w:val="Compact"/>
      </w:pPr>
      <w:r>
        <w:rPr>
          <w:bCs/>
          <w:b/>
        </w:rPr>
        <w:t xml:space="preserve">Improve Use Phase Energy Efficiency:</w:t>
      </w:r>
      <w:r>
        <w:t xml:space="preserve"> </w:t>
      </w:r>
      <w:r>
        <w:t xml:space="preserve">Redesign the product for lower energy consumption during its lifespan. Provide clear guidance to consumers on energy-efficient usage.</w:t>
      </w:r>
    </w:p>
    <w:p>
      <w:pPr>
        <w:numPr>
          <w:ilvl w:val="0"/>
          <w:numId w:val="1016"/>
        </w:numPr>
        <w:pStyle w:val="Compact"/>
      </w:pPr>
      <w:r>
        <w:rPr>
          <w:bCs/>
          <w:b/>
        </w:rPr>
        <w:t xml:space="preserve">Optimize Last-Mile Logistics:</w:t>
      </w:r>
      <w:r>
        <w:t xml:space="preserve"> </w:t>
      </w:r>
      <w:r>
        <w:t xml:space="preserve">Explore more efficient or lower-emission last-mile delivery options, such as electric vehicles, cargo bikes in urban areas, or local fulfillment centers to reduce distances.</w:t>
      </w:r>
    </w:p>
    <w:p>
      <w:pPr>
        <w:numPr>
          <w:ilvl w:val="0"/>
          <w:numId w:val="1016"/>
        </w:numPr>
        <w:pStyle w:val="Compact"/>
      </w:pPr>
      <w:r>
        <w:rPr>
          <w:bCs/>
          <w:b/>
        </w:rPr>
        <w:t xml:space="preserve">Source Lower-Carbon Materials:</w:t>
      </w:r>
      <w:r>
        <w:t xml:space="preserve"> </w:t>
      </w:r>
      <w:r>
        <w:t xml:space="preserve">Investigate suppliers for aluminum, plastics, and electronics with lower embedded carbon footprints, prioritizing recycled content or materials produced with renewable energy.</w:t>
      </w:r>
    </w:p>
    <w:p>
      <w:pPr>
        <w:numPr>
          <w:ilvl w:val="0"/>
          <w:numId w:val="1016"/>
        </w:numPr>
        <w:pStyle w:val="Compact"/>
      </w:pPr>
      <w:r>
        <w:rPr>
          <w:bCs/>
          <w:b/>
        </w:rPr>
        <w:t xml:space="preserve">Increase Renewable Energy in Production:</w:t>
      </w:r>
      <w:r>
        <w:t xml:space="preserve"> </w:t>
      </w:r>
      <w:r>
        <w:t xml:space="preserve">Aim for 100% renewable energy procurement or on-site generation at the manufacturing facility in China.</w:t>
      </w:r>
    </w:p>
    <w:p>
      <w:pPr>
        <w:numPr>
          <w:ilvl w:val="0"/>
          <w:numId w:val="1016"/>
        </w:numPr>
        <w:pStyle w:val="Compact"/>
      </w:pPr>
      <w:r>
        <w:rPr>
          <w:bCs/>
          <w:b/>
        </w:rPr>
        <w:t xml:space="preserve">Enhance Circularity:</w:t>
      </w:r>
      <w:r>
        <w:t xml:space="preserve"> </w:t>
      </w:r>
      <w:r>
        <w:t xml:space="preserve">Continue to strengthen take-back programs and partnerships with certified recyclers, potentially exploring closed-loop recycling systems for key materials.</w:t>
      </w:r>
    </w:p>
    <w:p>
      <w:pPr>
        <w:pStyle w:val="FirstParagraph"/>
      </w:pPr>
      <w:r>
        <w:t xml:space="preserve">Confidential - Internal Use Only</w:t>
      </w:r>
    </w:p>
    <w:p>
      <w:pPr>
        <w:pStyle w:val="BodyText"/>
      </w:pPr>
      <w:r>
        <w:t xml:space="preserve">Page</w:t>
      </w:r>
      <w:r>
        <w:t xml:space="preserve"> </w:t>
      </w:r>
      <w:bookmarkStart w:id="49" w:name="pageNumber"/>
      <w:bookmarkEnd w:id="49"/>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Smart Widget Pro</dc:title>
  <dc:creator/>
  <dc:description>Detailed Product Carbon Footprint (PCF) analysis report for vljosjwrmh (Smart Widget Pro) by emoxrsjjln, Senior Sustainability Consultant at zfxzdhzkyy, adhering to GHG Protocol and 2026 LSR Update.</dc:description>
  <dc:language>en</dc:language>
  <cp:keywords/>
  <dcterms:created xsi:type="dcterms:W3CDTF">2026-07-15T09:29:34Z</dcterms:created>
  <dcterms:modified xsi:type="dcterms:W3CDTF">2026-07-15T09:29:34Z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