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Smart</w:t>
      </w:r>
      <w:r>
        <w:t xml:space="preserve"> </w:t>
      </w:r>
      <w:r>
        <w:t xml:space="preserve">IoT</w:t>
      </w:r>
      <w:r>
        <w:t xml:space="preserve"> </w:t>
      </w:r>
      <w:r>
        <w:t xml:space="preserve">Sensor</w:t>
      </w:r>
    </w:p>
    <w:p>
      <w:pPr>
        <w:pStyle w:val="FirstParagraph"/>
      </w:pPr>
      <w:r>
        <w:t xml:space="preserve">carboncalcpcf.com</w:t>
      </w:r>
    </w:p>
    <w:bookmarkStart w:id="22" w:name="Xf2e6ab5be446359d80f42f50d41e46314dfe19d"/>
    <w:p>
      <w:pPr>
        <w:pStyle w:val="Heading1"/>
      </w:pPr>
      <w:r>
        <w:t xml:space="preserve">Product Carbon Footprint (PCF) Analysis Report</w:t>
      </w:r>
    </w:p>
    <w:bookmarkStart w:id="20" w:name="product-smart-iot-sensor-vgkipfmlgm"/>
    <w:p>
      <w:pPr>
        <w:pStyle w:val="Heading2"/>
      </w:pPr>
      <w:r>
        <w:t xml:space="preserve">Product: Smart IoT Sensor (vgkipfmlgm)</w:t>
      </w:r>
    </w:p>
    <w:bookmarkEnd w:id="20"/>
    <w:bookmarkStart w:id="21" w:name="company-ecosense-innovations-fqofnnivfy"/>
    <w:p>
      <w:pPr>
        <w:pStyle w:val="Heading2"/>
      </w:pPr>
      <w:r>
        <w:t xml:space="preserve">Company: EcoSense Innovations (fqofnnivfy)</w:t>
      </w:r>
    </w:p>
    <w:p>
      <w:pPr>
        <w:pStyle w:val="FirstParagraph"/>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Dr. Anya Sharma (zynqhddkin)</w:t>
      </w:r>
    </w:p>
    <w:p>
      <w:pPr>
        <w:pStyle w:val="BodyText"/>
      </w:pPr>
      <w:r>
        <w:t xml:space="preserve">Disclaimer: This report is generated based on available data and industry standards. While every effort has been made to ensure accuracy, specific values may vary based on real-world conditions and evolving emission factors.</w:t>
      </w:r>
    </w:p>
    <w:bookmarkEnd w:id="21"/>
    <w:bookmarkEnd w:id="22"/>
    <w:p>
      <w:pPr>
        <w:pStyle w:val="BodyText"/>
      </w:pPr>
      <w:r>
        <w:t xml:space="preserve">Product Carbon Footprint Analysis - Smart IoT Sensor | Generated: May 26, 2026</w:t>
      </w:r>
    </w:p>
    <w:bookmarkStart w:id="23" w:name="executive-summary"/>
    <w:p>
      <w:pPr>
        <w:pStyle w:val="Heading1"/>
      </w:pPr>
      <w:r>
        <w:t xml:space="preserve">Executive Summary</w:t>
      </w:r>
    </w:p>
    <w:p>
      <w:pPr>
        <w:pStyle w:val="FirstParagraph"/>
      </w:pPr>
      <w:r>
        <w:t xml:space="preserve">This report presents a high-detail Product Carbon Footprint (PCF) analysis for the</w:t>
      </w:r>
      <w:r>
        <w:t xml:space="preserve"> </w:t>
      </w:r>
      <w:r>
        <w:rPr>
          <w:bCs/>
          <w:b/>
        </w:rPr>
        <w:t xml:space="preserve">Smart IoT Sensor (vgkipfmlgm)</w:t>
      </w:r>
      <w:r>
        <w:t xml:space="preserve"> </w:t>
      </w:r>
      <w:r>
        <w:t xml:space="preserve">manufactured by</w:t>
      </w:r>
      <w:r>
        <w:t xml:space="preserve"> </w:t>
      </w:r>
      <w:r>
        <w:rPr>
          <w:bCs/>
          <w:b/>
        </w:rPr>
        <w:t xml:space="preserve">EcoSense Innovations (fqofnnivfy)</w:t>
      </w:r>
      <w:r>
        <w:t xml:space="preserve">. The analysis adheres to the GHG Protocol standards, including considerations for the upcoming 2026 Land Sector and Removals (LSR) update, and aims for at least 95% Scope 3 coverage. The primary goal is to quantify the greenhouse gas (GHG) emissions across the product\'s entire lifecycle, from material acquisition to end-of-life, to identify key emission hotspots and inform sustainability strategies.</w:t>
      </w:r>
    </w:p>
    <w:p>
      <w:r>
        <w:pict>
          <v:rect style="width:0;height:1.5pt" o:hralign="center" o:hrstd="t" o:hr="t"/>
        </w:pict>
      </w:r>
    </w:p>
    <w:bookmarkEnd w:id="23"/>
    <w:bookmarkStart w:id="26" w:name="methodology-and-scope-definition"/>
    <w:p>
      <w:pPr>
        <w:pStyle w:val="Heading1"/>
      </w:pPr>
      <w:r>
        <w:t xml:space="preserve">1. Methodology and Scope Definition</w:t>
      </w:r>
    </w:p>
    <w:p>
      <w:pPr>
        <w:pStyle w:val="FirstParagraph"/>
      </w:pPr>
      <w:r>
        <w:t xml:space="preserve">This Product Carbon Footprint (PCF) analysis is conducted following the Greenhouse Gas Protocol\'s Product Life Cycle Accounting and Reporting Standard. This methodology ensures a comprehensive assessment of all relevant GHG emissions associated with the Smart IoT Sensor.</w:t>
      </w:r>
    </w:p>
    <w:bookmarkStart w:id="24" w:name="define-scope"/>
    <w:p>
      <w:pPr>
        <w:pStyle w:val="Heading2"/>
      </w:pPr>
      <w:r>
        <w:t xml:space="preserve">1.1. Define Scope</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 of the Smart IoT Sensor (vgkipfmlgm)</w:t>
      </w:r>
      <w:r>
        <w:t xml:space="preserve">.</w:t>
      </w:r>
    </w:p>
    <w:p>
      <w:pPr>
        <w:numPr>
          <w:ilvl w:val="0"/>
          <w:numId w:val="1001"/>
        </w:numPr>
        <w:pStyle w:val="Compact"/>
      </w:pPr>
      <w:r>
        <w:rPr>
          <w:bCs/>
          <w:b/>
        </w:rPr>
        <w:t xml:space="preserve">System Boundary:</w:t>
      </w:r>
      <w:r>
        <w:t xml:space="preserve"> </w:t>
      </w:r>
      <w:r>
        <w:t xml:space="preserve">The analysis adopts a</w:t>
      </w:r>
      <w:r>
        <w:t xml:space="preserve"> </w:t>
      </w:r>
      <w:r>
        <w:rPr>
          <w:bCs/>
          <w:b/>
        </w:rPr>
        <w:t xml:space="preserve">\'Cradle-to-Grave\'</w:t>
      </w:r>
      <w:r>
        <w:t xml:space="preserve"> </w:t>
      </w:r>
      <w:r>
        <w:t xml:space="preserve">system boundary. While the initial defined boundary was \'factory_gate\', the inclusion of detailed use-phase and end-of-life scenarios necessitates an expansion to cover the entire lifecycle, from raw material extraction and processing, through manufacturing, distribution, use, and finally to end-of-life treatment.</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on</w:t>
      </w:r>
      <w:r>
        <w:t xml:space="preserve"> </w:t>
      </w:r>
      <w:r>
        <w:rPr>
          <w:bCs/>
          <w:b/>
        </w:rPr>
        <w:t xml:space="preserve">Europe</w:t>
      </w:r>
      <w:r>
        <w:t xml:space="preserve"> </w:t>
      </w:r>
      <w:r>
        <w:t xml:space="preserve">for upstream material sourcing and distribution.</w:t>
      </w:r>
    </w:p>
    <w:p>
      <w:pPr>
        <w:numPr>
          <w:ilvl w:val="0"/>
          <w:numId w:val="1001"/>
        </w:numPr>
        <w:pStyle w:val="Compact"/>
      </w:pPr>
      <w:r>
        <w:rPr>
          <w:bCs/>
          <w:b/>
        </w:rPr>
        <w:t xml:space="preserve">Accounting Standard:</w:t>
      </w:r>
      <w:r>
        <w:t xml:space="preserve"> </w:t>
      </w:r>
      <w:r>
        <w:t xml:space="preserve">The analysis strictly follows the</w:t>
      </w:r>
      <w:r>
        <w:t xml:space="preserve"> </w:t>
      </w:r>
      <w:r>
        <w:rPr>
          <w:bCs/>
          <w:b/>
        </w:rPr>
        <w:t xml:space="preserve">GHG Protocol</w:t>
      </w:r>
      <w:r>
        <w:t xml:space="preserve">, categorizing emissions into Scope 1 (direct), Scope 2 (purchased energy), and Scope 3 (value chain) to ensure accurate and consistent reporting.</w:t>
      </w:r>
    </w:p>
    <w:p>
      <w:pPr>
        <w:numPr>
          <w:ilvl w:val="0"/>
          <w:numId w:val="1001"/>
        </w:numPr>
        <w:pStyle w:val="Compact"/>
      </w:pPr>
      <w:r>
        <w:rPr>
          <w:bCs/>
          <w:b/>
        </w:rPr>
        <w:t xml:space="preserve">Allocation:</w:t>
      </w:r>
      <w:r>
        <w:t xml:space="preserve"> </w:t>
      </w:r>
      <w:r>
        <w:t xml:space="preserve">Where multi-functional processes are involved (e.g., co-production of materials), allocation has been performed based on mass or economic value, as appropriate to industry best practices and data availability.</w:t>
      </w:r>
    </w:p>
    <w:bookmarkEnd w:id="24"/>
    <w:bookmarkStart w:id="25" w:name="X25ab271e0b973df754491ec5ddcb2d245f47eaf"/>
    <w:p>
      <w:pPr>
        <w:pStyle w:val="Heading2"/>
      </w:pPr>
      <w:r>
        <w:t xml:space="preserve">1.2. GHG Protocol Adherence and 2026 LSR Update</w:t>
      </w:r>
    </w:p>
    <w:p>
      <w:pPr>
        <w:pStyle w:val="FirstParagraph"/>
      </w:pPr>
      <w:r>
        <w:t xml:space="preserve">The analysis categorizes emissions as per the GHG Protocol:</w:t>
      </w:r>
    </w:p>
    <w:p>
      <w:pPr>
        <w:numPr>
          <w:ilvl w:val="0"/>
          <w:numId w:val="1002"/>
        </w:numPr>
        <w:pStyle w:val="Compact"/>
      </w:pPr>
      <w:r>
        <w:rPr>
          <w:bCs/>
          <w:b/>
        </w:rPr>
        <w:t xml:space="preserve">Scope 1:</w:t>
      </w:r>
      <w:r>
        <w:t xml:space="preserve"> </w:t>
      </w:r>
      <w:r>
        <w:t xml:space="preserve">Direct GHG emissions from sources owned or controlled by</w:t>
      </w:r>
      <w:r>
        <w:t xml:space="preserve"> </w:t>
      </w:r>
      <w:r>
        <w:rPr>
          <w:bCs/>
          <w:b/>
        </w:rPr>
        <w:t xml:space="preserve">EcoSense Innovations (fqofnnivfy)</w:t>
      </w:r>
      <w:r>
        <w:t xml:space="preserve">. For this product, direct manufacturing emissions (e.g., on-site fuel combustion) are assumed to be negligible or covered by upstream process emissions in Scope 3 if occurring at supplier sites.</w:t>
      </w:r>
    </w:p>
    <w:p>
      <w:pPr>
        <w:numPr>
          <w:ilvl w:val="0"/>
          <w:numId w:val="1002"/>
        </w:numPr>
        <w:pStyle w:val="Compact"/>
      </w:pPr>
      <w:r>
        <w:rPr>
          <w:bCs/>
          <w:b/>
        </w:rPr>
        <w:t xml:space="preserve">Scope 2:</w:t>
      </w:r>
      <w:r>
        <w:t xml:space="preserve"> </w:t>
      </w:r>
      <w:r>
        <w:t xml:space="preserve">Indirect GHG emissions from the generation of purchased electricity consumed by</w:t>
      </w:r>
      <w:r>
        <w:t xml:space="preserve"> </w:t>
      </w:r>
      <w:r>
        <w:rPr>
          <w:bCs/>
          <w:b/>
        </w:rPr>
        <w:t xml:space="preserve">EcoSense Innovations (fqofnnivfy)</w:t>
      </w:r>
      <w:r>
        <w:t xml:space="preserve"> </w:t>
      </w:r>
      <w:r>
        <w:t xml:space="preserve">during the manufacturing phase.</w:t>
      </w:r>
    </w:p>
    <w:p>
      <w:pPr>
        <w:numPr>
          <w:ilvl w:val="0"/>
          <w:numId w:val="1002"/>
        </w:numPr>
        <w:pStyle w:val="Compact"/>
      </w:pPr>
      <w:r>
        <w:rPr>
          <w:bCs/>
          <w:b/>
        </w:rPr>
        <w:t xml:space="preserve">Scope 3:</w:t>
      </w:r>
      <w:r>
        <w:t xml:space="preserve"> </w:t>
      </w:r>
      <w:r>
        <w:t xml:space="preserve">All other indirect emissions occurring in the value chain, both upstream and downstream. This includes emissions from purchased goods and services (materials), transportation (upstream and downstream), use of sold products, and end-of-life treatment of sold products.</w:t>
      </w:r>
    </w:p>
    <w:p>
      <w:pPr>
        <w:numPr>
          <w:ilvl w:val="1"/>
          <w:numId w:val="1003"/>
        </w:numPr>
        <w:pStyle w:val="Compact"/>
      </w:pPr>
      <w:r>
        <w:rPr>
          <w:bCs/>
          <w:b/>
        </w:rPr>
        <w:t xml:space="preserve">Scope 3 Compliance:</w:t>
      </w:r>
      <w:r>
        <w:t xml:space="preserve"> </w:t>
      </w:r>
      <w:r>
        <w:t xml:space="preserve">This report aims for at least 95% coverage for Scope 3 reporting, in line with 2026 requirements, by incorporating detailed material, energy, transport, use-phase, and end-of-life data.</w:t>
      </w:r>
    </w:p>
    <w:p>
      <w:pPr>
        <w:pStyle w:val="FirstParagraph"/>
      </w:pPr>
      <w:r>
        <w:rPr>
          <w:bCs/>
          <w:b/>
        </w:rPr>
        <w:t xml:space="preserve">2026 Land Sector and Removals (LSR) Standard Update:</w:t>
      </w:r>
      <w:r>
        <w:t xml:space="preserve"> </w:t>
      </w:r>
      <w:r>
        <w:t xml:space="preserve">Although specific land-use data for the product\'s components is not available, this report acknowledges and applies the principles of the GHG Protocol\'s Land Sector and Removals (LSR) Standard, which became effective January 1, 2027. This standard provides methods to quantify, report, and track land emissions, CO₂ removals, and emissions from biogenic products. As</w:t>
      </w:r>
      <w:r>
        <w:t xml:space="preserve"> </w:t>
      </w:r>
      <w:r>
        <w:rPr>
          <w:bCs/>
          <w:b/>
        </w:rPr>
        <w:t xml:space="preserve">EcoSense Innovations (fqofnnivfy)</w:t>
      </w:r>
      <w:r>
        <w:t xml:space="preserve"> </w:t>
      </w:r>
      <w:r>
        <w:t xml:space="preserve">further refines its data collection, direct application of LSR principles for specific raw material origins and any associated land-use change will be prioritized.</w:t>
      </w:r>
    </w:p>
    <w:p>
      <w:r>
        <w:pict>
          <v:rect style="width:0;height:1.5pt" o:hralign="center" o:hrstd="t" o:hr="t"/>
        </w:pict>
      </w:r>
    </w:p>
    <w:bookmarkEnd w:id="25"/>
    <w:bookmarkEnd w:id="26"/>
    <w:bookmarkStart w:id="33" w:name="X4b382269346944d8d691e5fbf085b7f144f545a"/>
    <w:p>
      <w:pPr>
        <w:pStyle w:val="Heading1"/>
      </w:pPr>
      <w:r>
        <w:t xml:space="preserve">2. &amp; 3. Lifecycle Mapping (LCI) and Data Collection</w:t>
      </w:r>
    </w:p>
    <w:p>
      <w:pPr>
        <w:pStyle w:val="FirstParagraph"/>
      </w:pPr>
      <w:r>
        <w:t xml:space="preserve">This section details the inventory stages of the Smart IoT Sensor\'s lifecycle and the data points collected, using the provided parameters and industry-standard emission factors.</w:t>
      </w:r>
    </w:p>
    <w:bookmarkStart w:id="28" w:name="X1679b4b46e92cdc748e581085d5b9fb42834b83"/>
    <w:p>
      <w:pPr>
        <w:pStyle w:val="Heading2"/>
      </w:pPr>
      <w:r>
        <w:t xml:space="preserve">2.1. Material Acquisition &amp; Processing (Upstream - Scope 3, Category 1: Purchased Goods and Services)</w:t>
      </w:r>
    </w:p>
    <w:p>
      <w:pPr>
        <w:pStyle w:val="FirstParagraph"/>
      </w:pPr>
      <w:r>
        <w:t xml:space="preserve">The Detailed Bill of Materials (BOM) for</w:t>
      </w:r>
      <w:r>
        <w:t xml:space="preserve"> </w:t>
      </w:r>
      <w:r>
        <w:rPr>
          <w:bCs/>
          <w:b/>
        </w:rPr>
        <w:t xml:space="preserve">vgkipfmlgm</w:t>
      </w:r>
      <w:r>
        <w:t xml:space="preserve">, as provided by</w:t>
      </w:r>
      <w:r>
        <w:t xml:space="preserve"> </w:t>
      </w:r>
      <w:r>
        <w:rPr>
          <w:bCs/>
          <w:b/>
        </w:rPr>
        <w:t xml:space="preserve">EcoSense Innovations (fqofnnivfy)</w:t>
      </w:r>
      <w:r>
        <w:t xml:space="preserve">, forms the basis for calculating material-related emissions. Industry-standard cradle-to-gate emission factors from sources like Climatiq and EPA have been applied. Where specific factors for a process were not available, best available proxies or expert assumptions were utilized.</w:t>
      </w:r>
    </w:p>
    <w:bookmarkStart w:id="27" w:name="X1726aaa2b1c710153369be84de2d67eccc2f20d"/>
    <w:p>
      <w:pPr>
        <w:pStyle w:val="Heading3"/>
      </w:pPr>
      <w:r>
        <w:t xml:space="preserve">Detailed Bill of Materials (BOM) and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3.125 kgCO2e/kg</w:t>
            </w:r>
          </w:p>
        </w:tc>
        <w:tc>
          <w:tcPr/>
          <w:p>
            <w:pPr>
              <w:pStyle w:val="Compact"/>
              <w:jc w:val="left"/>
            </w:pPr>
            <w:r>
              <w:t xml:space="preserve">0.46875</w:t>
            </w:r>
          </w:p>
        </w:tc>
      </w:tr>
      <w:tr>
        <w:tc>
          <w:tcPr/>
          <w:p>
            <w:pPr>
              <w:pStyle w:val="Compact"/>
              <w:jc w:val="left"/>
            </w:pPr>
            <w:r>
              <w:t xml:space="preserve">M002</w:t>
            </w:r>
          </w:p>
        </w:tc>
        <w:tc>
          <w:tcPr/>
          <w:p>
            <w:pPr>
              <w:pStyle w:val="Compact"/>
              <w:jc w:val="left"/>
            </w:pPr>
            <w:r>
              <w:t xml:space="preserve">Copper Wiring (internal)</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2.5 kgCO2e/kg (Assumed average)</w:t>
            </w:r>
          </w:p>
        </w:tc>
        <w:tc>
          <w:tcPr/>
          <w:p>
            <w:pPr>
              <w:pStyle w:val="Compact"/>
              <w:jc w:val="left"/>
            </w:pPr>
            <w:r>
              <w:t xml:space="preserve">0.07500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0.1625 kgCO2e/unit (Derived from 65 kgCO2e/sqm for a 0.0025 sqm PCB)</w:t>
            </w:r>
          </w:p>
        </w:tc>
        <w:tc>
          <w:tcPr/>
          <w:p>
            <w:pPr>
              <w:pStyle w:val="Compact"/>
              <w:jc w:val="left"/>
            </w:pPr>
            <w:r>
              <w:t xml:space="preserve">0.16250</w:t>
            </w:r>
          </w:p>
        </w:tc>
      </w:tr>
      <w:tr>
        <w:tc>
          <w:tcPr/>
          <w:p>
            <w:pPr>
              <w:pStyle w:val="Compact"/>
              <w:jc w:val="left"/>
            </w:pPr>
            <w:r>
              <w:t xml:space="preserve">M004</w:t>
            </w:r>
          </w:p>
        </w:tc>
        <w:tc>
          <w:tcPr/>
          <w:p>
            <w:pPr>
              <w:pStyle w:val="Compact"/>
              <w:jc w:val="left"/>
            </w:pPr>
            <w:r>
              <w:t xml:space="preserve">Lithium-Ion Battery (Small)</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0.04</w:t>
            </w:r>
          </w:p>
        </w:tc>
        <w:tc>
          <w:tcPr/>
          <w:p>
            <w:pPr>
              <w:pStyle w:val="Compact"/>
              <w:jc w:val="left"/>
            </w:pPr>
            <w:r>
              <w:t xml:space="preserve">kg</w:t>
            </w:r>
          </w:p>
        </w:tc>
        <w:tc>
          <w:tcPr/>
          <w:p>
            <w:pPr>
              <w:pStyle w:val="Compact"/>
              <w:jc w:val="left"/>
            </w:pPr>
            <w:r>
              <w:t xml:space="preserve">10.0 kgCO2e/kg (Derived from 80 kgCO2e/kWh for a 0.005 kWh battery weighing 0.04kg)</w:t>
            </w:r>
          </w:p>
        </w:tc>
        <w:tc>
          <w:tcPr/>
          <w:p>
            <w:pPr>
              <w:pStyle w:val="Compact"/>
              <w:jc w:val="left"/>
            </w:pPr>
            <w:r>
              <w:t xml:space="preserve">0.40000</w:t>
            </w:r>
          </w:p>
        </w:tc>
      </w:tr>
      <w:tr>
        <w:tc>
          <w:tcPr/>
          <w:p>
            <w:pPr>
              <w:pStyle w:val="Compact"/>
              <w:jc w:val="left"/>
            </w:pPr>
            <w:r>
              <w:t xml:space="preserve">M005</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 kgCO2e/kg (Assumed average for miscellaneous components)</w:t>
            </w:r>
          </w:p>
        </w:tc>
        <w:tc>
          <w:tcPr/>
          <w:p>
            <w:pPr>
              <w:pStyle w:val="Compact"/>
              <w:jc w:val="left"/>
            </w:pPr>
            <w:r>
              <w:t xml:space="preserve">0.05000</w:t>
            </w:r>
          </w:p>
        </w:tc>
      </w:tr>
      <w:tr>
        <w:tc>
          <w:tcPr>
            <w:gridSpan w:val="7"/>
          </w:tcPr>
          <w:p>
            <w:pPr>
              <w:pStyle w:val="Compact"/>
              <w:jc w:val="left"/>
            </w:pPr>
            <w:r>
              <w:rPr>
                <w:bCs/>
                <w:b/>
              </w:rPr>
              <w:t xml:space="preserve">Total Material-Related Emissions:</w:t>
            </w:r>
          </w:p>
        </w:tc>
        <w:tc>
          <w:tcPr/>
          <w:p>
            <w:pPr>
              <w:pStyle w:val="Compact"/>
              <w:jc w:val="left"/>
            </w:pPr>
            <w:r>
              <w:rPr>
                <w:bCs/>
                <w:b/>
              </w:rPr>
              <w:t xml:space="preserve">1.15625 kgCO2e</w:t>
            </w:r>
          </w:p>
        </w:tc>
      </w:tr>
    </w:tbl>
    <w:p>
      <w:pPr>
        <w:pStyle w:val="BodyText"/>
      </w:pPr>
      <w:r>
        <w:rPr>
          <w:iCs/>
          <w:i/>
        </w:rPr>
        <w:t xml:space="preserve">Note: Specific emission factors for copper wiring extrusion and miscellaneous electronic components were based on reasonable industry averages due to lack of direct, highly specific public data for these particular processes/components.</w:t>
      </w:r>
    </w:p>
    <w:bookmarkEnd w:id="27"/>
    <w:bookmarkEnd w:id="28"/>
    <w:bookmarkStart w:id="29" w:name="X994170810762e2843e72db6d2a3ce0114c961c4"/>
    <w:p>
      <w:pPr>
        <w:pStyle w:val="Heading2"/>
      </w:pPr>
      <w:r>
        <w:t xml:space="preserve">2.2. Manufacturing Phase (Production Energy - Scope 2: Purchased Electricity)</w:t>
      </w:r>
    </w:p>
    <w:p>
      <w:pPr>
        <w:pStyle w:val="FirstParagraph"/>
      </w:pPr>
      <w:r>
        <w:t xml:space="preserve">The energy consumption during the production of one Smart IoT Sensor is a significant factor. The calculations incorporate the provided energy intensity and renewable energy usage data.</w:t>
      </w:r>
    </w:p>
    <w:p>
      <w:pPr>
        <w:numPr>
          <w:ilvl w:val="0"/>
          <w:numId w:val="1004"/>
        </w:numPr>
        <w:pStyle w:val="Compact"/>
      </w:pPr>
      <w:r>
        <w:rPr>
          <w:bCs/>
          <w:b/>
        </w:rPr>
        <w:t xml:space="preserve">Energy Intensity:</w:t>
      </w:r>
      <w:r>
        <w:t xml:space="preserve"> </w:t>
      </w:r>
      <w:r>
        <w:t xml:space="preserve">10 kWh/unit [Provided: fglukznvln]</w:t>
      </w:r>
    </w:p>
    <w:p>
      <w:pPr>
        <w:numPr>
          <w:ilvl w:val="0"/>
          <w:numId w:val="1004"/>
        </w:numPr>
        <w:pStyle w:val="Compact"/>
      </w:pPr>
      <w:r>
        <w:rPr>
          <w:bCs/>
          <w:b/>
        </w:rPr>
        <w:t xml:space="preserve">Renewable Energy Usage:</w:t>
      </w:r>
      <w:r>
        <w:t xml:space="preserve"> </w:t>
      </w:r>
      <w:r>
        <w:t xml:space="preserve">60% [Provided: kfzdrqvjvr]</w:t>
      </w:r>
    </w:p>
    <w:p>
      <w:pPr>
        <w:numPr>
          <w:ilvl w:val="0"/>
          <w:numId w:val="1004"/>
        </w:numPr>
        <w:pStyle w:val="Compact"/>
      </w:pPr>
      <w:r>
        <w:rPr>
          <w:bCs/>
          <w:b/>
        </w:rPr>
        <w:t xml:space="preserve">Grid Electricity Purchased:</w:t>
      </w:r>
      <w:r>
        <w:t xml:space="preserve"> </w:t>
      </w:r>
      <w:r>
        <w:t xml:space="preserve">40% (100% - 60% Renewable Usage)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China Grid Emission Factor (2021 MEE average):</w:t>
      </w:r>
      <w:r>
        <w:t xml:space="preserve"> </w:t>
      </w:r>
      <w:r>
        <w:t xml:space="preserve">0.5568 kg CO2e/kWh</w:t>
      </w:r>
    </w:p>
    <w:bookmarkEnd w:id="29"/>
    <w:bookmarkStart w:id="30" w:name="X1aba12e767cf943a5f815dc779ff8a22eed13a2"/>
    <w:p>
      <w:pPr>
        <w:pStyle w:val="Heading2"/>
      </w:pPr>
      <w:r>
        <w:t xml:space="preserve">2.3. Transportation &amp; Distribution (Scope 3, Category 4 &amp; 9)</w:t>
      </w:r>
    </w:p>
    <w:p>
      <w:pPr>
        <w:pStyle w:val="FirstParagraph"/>
      </w:pPr>
      <w:r>
        <w:t xml:space="preserve">Logistics impacts are calculated based on the specified transport mode, distance, and last-mile delivery channel.</w:t>
      </w:r>
    </w:p>
    <w:p>
      <w:pPr>
        <w:numPr>
          <w:ilvl w:val="0"/>
          <w:numId w:val="1005"/>
        </w:numPr>
        <w:pStyle w:val="Compact"/>
      </w:pPr>
      <w:r>
        <w:rPr>
          <w:bCs/>
          <w:b/>
        </w:rPr>
        <w:t xml:space="preserve">Total Product Weight (approx. including packaging):</w:t>
      </w:r>
      <w:r>
        <w:t xml:space="preserve"> </w:t>
      </w:r>
      <w:r>
        <w:t xml:space="preserve">0.25 kg/unit</w:t>
      </w:r>
    </w:p>
    <w:p>
      <w:pPr>
        <w:numPr>
          <w:ilvl w:val="0"/>
          <w:numId w:val="1005"/>
        </w:numPr>
        <w:pStyle w:val="Compact"/>
      </w:pPr>
      <w:r>
        <w:rPr>
          <w:bCs/>
          <w:b/>
        </w:rPr>
        <w:t xml:space="preserve">Transport Mode (Main Freight):</w:t>
      </w:r>
      <w:r>
        <w:t xml:space="preserve"> </w:t>
      </w:r>
      <w:r>
        <w:t xml:space="preserve">Road Freight (Heavy Duty Truck) [Provided: Select Mode]</w:t>
      </w:r>
    </w:p>
    <w:p>
      <w:pPr>
        <w:numPr>
          <w:ilvl w:val="0"/>
          <w:numId w:val="1005"/>
        </w:numPr>
        <w:pStyle w:val="Compact"/>
      </w:pPr>
      <w:r>
        <w:rPr>
          <w:bCs/>
          <w:b/>
        </w:rPr>
        <w:t xml:space="preserve">Transport Distance:</w:t>
      </w:r>
      <w:r>
        <w:t xml:space="preserve"> </w:t>
      </w:r>
      <w:r>
        <w:t xml:space="preserve">1500 km [Provided: ytifvdsfnq]</w:t>
      </w:r>
    </w:p>
    <w:p>
      <w:pPr>
        <w:numPr>
          <w:ilvl w:val="0"/>
          <w:numId w:val="1005"/>
        </w:numPr>
        <w:pStyle w:val="Compact"/>
      </w:pPr>
      <w:r>
        <w:rPr>
          <w:bCs/>
          <w:b/>
        </w:rPr>
        <w:t xml:space="preserve">Road Freight Emission Factor:</w:t>
      </w:r>
      <w:r>
        <w:t xml:space="preserve"> </w:t>
      </w:r>
      <w:r>
        <w:t xml:space="preserve">0.105 kg CO2e/tkm (tonne-kilometer)</w:t>
      </w:r>
    </w:p>
    <w:p>
      <w:pPr>
        <w:numPr>
          <w:ilvl w:val="0"/>
          <w:numId w:val="1005"/>
        </w:numPr>
        <w:pStyle w:val="Compact"/>
      </w:pPr>
      <w:r>
        <w:rPr>
          <w:bCs/>
          <w:b/>
        </w:rPr>
        <w:t xml:space="preserve">Last-Mile Delivery Channel:</w:t>
      </w:r>
      <w:r>
        <w:t xml:space="preserve"> </w:t>
      </w:r>
      <w:r>
        <w:t xml:space="preserve">Small Parcel Express [Provided: Delivery Type]</w:t>
      </w:r>
    </w:p>
    <w:p>
      <w:pPr>
        <w:numPr>
          <w:ilvl w:val="0"/>
          <w:numId w:val="1005"/>
        </w:numPr>
        <w:pStyle w:val="Compact"/>
      </w:pPr>
      <w:r>
        <w:rPr>
          <w:bCs/>
          <w:b/>
        </w:rPr>
        <w:t xml:space="preserve">Last-Mile Delivery Emission Factor:</w:t>
      </w:r>
      <w:r>
        <w:t xml:space="preserve"> </w:t>
      </w:r>
      <w:r>
        <w:t xml:space="preserve">0.1 kg CO2e/parcel (Assumed average for small parcel delivery)</w:t>
      </w:r>
    </w:p>
    <w:bookmarkEnd w:id="30"/>
    <w:bookmarkStart w:id="31" w:name="Xb6379c31f00345ccff01e90b5cbf0314a51933a"/>
    <w:p>
      <w:pPr>
        <w:pStyle w:val="Heading2"/>
      </w:pPr>
      <w:r>
        <w:t xml:space="preserve">2.4. Use Phase (Downstream - Scope 3, Category 11: Use of Sold Products)</w:t>
      </w:r>
    </w:p>
    <w:p>
      <w:pPr>
        <w:pStyle w:val="FirstParagraph"/>
      </w:pPr>
      <w:r>
        <w:t xml:space="preserve">The energy consumption during the product\'s operational lifespan contributes to its overall footprint.</w:t>
      </w:r>
    </w:p>
    <w:p>
      <w:pPr>
        <w:numPr>
          <w:ilvl w:val="0"/>
          <w:numId w:val="1006"/>
        </w:numPr>
        <w:pStyle w:val="Compact"/>
      </w:pPr>
      <w:r>
        <w:rPr>
          <w:bCs/>
          <w:b/>
        </w:rPr>
        <w:t xml:space="preserve">Product Lifespan:</w:t>
      </w:r>
      <w:r>
        <w:t xml:space="preserve"> </w:t>
      </w:r>
      <w:r>
        <w:t xml:space="preserve">5 years [Provided: texrfgdgoo]</w:t>
      </w:r>
    </w:p>
    <w:p>
      <w:pPr>
        <w:numPr>
          <w:ilvl w:val="0"/>
          <w:numId w:val="1006"/>
        </w:numPr>
        <w:pStyle w:val="Compact"/>
      </w:pPr>
      <w:r>
        <w:rPr>
          <w:bCs/>
          <w:b/>
        </w:rPr>
        <w:t xml:space="preserve">Energy Consumption in Use:</w:t>
      </w:r>
      <w:r>
        <w:t xml:space="preserve"> </w:t>
      </w:r>
      <w:r>
        <w:t xml:space="preserve">50 kWh/year [Provided: ttyiqooxqz]</w:t>
      </w:r>
    </w:p>
    <w:p>
      <w:pPr>
        <w:numPr>
          <w:ilvl w:val="0"/>
          <w:numId w:val="1006"/>
        </w:numPr>
        <w:pStyle w:val="Compact"/>
      </w:pPr>
      <w:r>
        <w:rPr>
          <w:bCs/>
          <w:b/>
        </w:rPr>
        <w:t xml:space="preserve">Assumed Grid Emission Factor for Use Phase (China proxy):</w:t>
      </w:r>
      <w:r>
        <w:t xml:space="preserve"> </w:t>
      </w:r>
      <w:r>
        <w:t xml:space="preserve">0.5568 kg CO2e/kWh</w:t>
      </w:r>
    </w:p>
    <w:bookmarkEnd w:id="31"/>
    <w:bookmarkStart w:id="32" w:name="Xa1f54574913354626048d75090af8fdc181d8bd"/>
    <w:p>
      <w:pPr>
        <w:pStyle w:val="Heading2"/>
      </w:pPr>
      <w:r>
        <w:t xml:space="preserve">2.5. End-of-Life (EoL) Treatment (Downstream - Scope 3, Category 12: End-of-Life Treatment of Sold Products)</w:t>
      </w:r>
    </w:p>
    <w:p>
      <w:pPr>
        <w:pStyle w:val="FirstParagraph"/>
      </w:pPr>
      <w:r>
        <w:t xml:space="preserve">The end-of-life scenario considers both recyclability and circular programs.</w:t>
      </w:r>
    </w:p>
    <w:p>
      <w:pPr>
        <w:numPr>
          <w:ilvl w:val="0"/>
          <w:numId w:val="1007"/>
        </w:numPr>
        <w:pStyle w:val="Compact"/>
      </w:pPr>
      <w:r>
        <w:rPr>
          <w:bCs/>
          <w:b/>
        </w:rPr>
        <w:t xml:space="preserve">Total Product Weight:</w:t>
      </w:r>
      <w:r>
        <w:t xml:space="preserve"> </w:t>
      </w:r>
      <w:r>
        <w:t xml:space="preserve">0.25 kg/unit</w:t>
      </w:r>
    </w:p>
    <w:p>
      <w:pPr>
        <w:numPr>
          <w:ilvl w:val="0"/>
          <w:numId w:val="1007"/>
        </w:numPr>
        <w:pStyle w:val="Compact"/>
      </w:pPr>
      <w:r>
        <w:rPr>
          <w:bCs/>
          <w:b/>
        </w:rPr>
        <w:t xml:space="preserve">Recyclability Percentage:</w:t>
      </w:r>
      <w:r>
        <w:t xml:space="preserve"> </w:t>
      </w:r>
      <w:r>
        <w:t xml:space="preserve">80% [Provided: piijimjlyw]</w:t>
      </w:r>
    </w:p>
    <w:p>
      <w:pPr>
        <w:numPr>
          <w:ilvl w:val="0"/>
          <w:numId w:val="1007"/>
        </w:numPr>
        <w:pStyle w:val="Compact"/>
      </w:pPr>
      <w:r>
        <w:rPr>
          <w:bCs/>
          <w:b/>
        </w:rPr>
        <w:t xml:space="preserve">Circular/Take-back Programs:</w:t>
      </w:r>
      <w:r>
        <w:t xml:space="preserve"> </w:t>
      </w:r>
      <w:r>
        <w:t xml:space="preserve">Established Product Take-back and Recycling Program [Provided: lydppslyde]</w:t>
      </w:r>
    </w:p>
    <w:p>
      <w:pPr>
        <w:numPr>
          <w:ilvl w:val="0"/>
          <w:numId w:val="1007"/>
        </w:numPr>
        <w:pStyle w:val="Compact"/>
      </w:pPr>
      <w:r>
        <w:rPr>
          <w:bCs/>
          <w:b/>
        </w:rPr>
        <w:t xml:space="preserve">Landfilled Portion:</w:t>
      </w:r>
      <w:r>
        <w:t xml:space="preserve"> </w:t>
      </w:r>
      <w:r>
        <w:t xml:space="preserve">20% (100% - 80% Recyclability)</w:t>
      </w:r>
    </w:p>
    <w:p>
      <w:pPr>
        <w:numPr>
          <w:ilvl w:val="0"/>
          <w:numId w:val="1007"/>
        </w:numPr>
        <w:pStyle w:val="Compact"/>
      </w:pPr>
      <w:r>
        <w:rPr>
          <w:bCs/>
          <w:b/>
        </w:rPr>
        <w:t xml:space="preserve">Landfill Emission Factor (plastic proxy):</w:t>
      </w:r>
      <w:r>
        <w:t xml:space="preserve"> </w:t>
      </w:r>
      <w:r>
        <w:t xml:space="preserve">0.033 kg CO2e/kg</w:t>
      </w:r>
    </w:p>
    <w:p>
      <w:pPr>
        <w:numPr>
          <w:ilvl w:val="0"/>
          <w:numId w:val="1007"/>
        </w:numPr>
        <w:pStyle w:val="Compact"/>
      </w:pPr>
      <w:r>
        <w:rPr>
          <w:bCs/>
          <w:b/>
        </w:rPr>
        <w:t xml:space="preserve">Recycling Credit:</w:t>
      </w:r>
      <w:r>
        <w:t xml:space="preserve"> </w:t>
      </w:r>
      <w:r>
        <w:t xml:space="preserve">For the 80% recycled portion, it is assumed that these materials displace virgin material production. A general avoided emissions credit for recycling the primary plastic component (ABS) is used at -2.0 kgCO2e/kg (an illustrative value to reflect avoided virgin material production, aligned with concepts in). For simplicity in overall product calculation, this credit is applied to the plastic content of the recycled portion.</w:t>
      </w:r>
    </w:p>
    <w:p>
      <w:r>
        <w:pict>
          <v:rect style="width:0;height:1.5pt" o:hralign="center" o:hrstd="t" o:hr="t"/>
        </w:pict>
      </w:r>
    </w:p>
    <w:bookmarkEnd w:id="32"/>
    <w:bookmarkEnd w:id="33"/>
    <w:bookmarkStart w:id="43" w:name="X2c62247db19834934c44c209ad423fe06ba5c64"/>
    <w:p>
      <w:pPr>
        <w:pStyle w:val="Heading1"/>
      </w:pPr>
      <w:r>
        <w:t xml:space="preserve">4. Calculation of Emissions (Activity × Emission Factor = CO2e)</w:t>
      </w:r>
    </w:p>
    <w:p>
      <w:pPr>
        <w:pStyle w:val="FirstParagraph"/>
      </w:pPr>
      <w:r>
        <w:t xml:space="preserve">The emissions for each lifecycle stage are calculated and categorized according to GHG Protocol scopes.</w:t>
      </w:r>
    </w:p>
    <w:bookmarkStart w:id="38" w:name="manufacturing-emissions-cradle-to-gate"/>
    <w:p>
      <w:pPr>
        <w:pStyle w:val="Heading2"/>
      </w:pPr>
      <w:r>
        <w:t xml:space="preserve">4.1. Manufacturing Emissions (Cradle-to-Gate)</w:t>
      </w:r>
    </w:p>
    <w:bookmarkStart w:id="34" w:name="scope-1-direct-emissions"/>
    <w:p>
      <w:pPr>
        <w:pStyle w:val="Heading3"/>
      </w:pPr>
      <w:r>
        <w:t xml:space="preserve">Scope 1: Direct Emissions</w:t>
      </w:r>
    </w:p>
    <w:p>
      <w:pPr>
        <w:numPr>
          <w:ilvl w:val="0"/>
          <w:numId w:val="1008"/>
        </w:numPr>
        <w:pStyle w:val="Compact"/>
      </w:pPr>
      <w:r>
        <w:t xml:space="preserve">No significant Scope 1 emissions are reported for the product\'s manufacturing process, as direct combustion or process emissions are assumed to be negligible or attributed upstream to material suppliers within Scope 3.</w:t>
      </w:r>
    </w:p>
    <w:bookmarkEnd w:id="34"/>
    <w:bookmarkStart w:id="35" w:name="scope-2-purchased-electricity-emissions"/>
    <w:p>
      <w:pPr>
        <w:pStyle w:val="Heading3"/>
      </w:pPr>
      <w:r>
        <w:t xml:space="preserve">Scope 2: Purchased Electricity Emissions</w:t>
      </w:r>
    </w:p>
    <w:p>
      <w:pPr>
        <w:numPr>
          <w:ilvl w:val="0"/>
          <w:numId w:val="1009"/>
        </w:numPr>
        <w:pStyle w:val="Compact"/>
      </w:pPr>
      <w:r>
        <w:rPr>
          <w:bCs/>
          <w:b/>
        </w:rPr>
        <w:t xml:space="preserve">Calculation:</w:t>
      </w:r>
      <w:r>
        <w:t xml:space="preserve"> </w:t>
      </w:r>
      <w:r>
        <w:t xml:space="preserve">(Energy Intensity * (1 - Renewable Usage)) * China Grid Emission Factor</w:t>
      </w:r>
    </w:p>
    <w:p>
      <w:pPr>
        <w:numPr>
          <w:ilvl w:val="0"/>
          <w:numId w:val="1009"/>
        </w:numPr>
        <w:pStyle w:val="Compact"/>
      </w:pPr>
      <w:r>
        <w:rPr>
          <w:bCs/>
          <w:b/>
        </w:rPr>
        <w:t xml:space="preserve">Emissions:</w:t>
      </w:r>
      <w:r>
        <w:t xml:space="preserve"> </w:t>
      </w:r>
      <w:r>
        <w:t xml:space="preserve">(10 kWh/unit * (1 - 0.60)) * 0.5568 kgCO2e/kWh =</w:t>
      </w:r>
      <w:r>
        <w:t xml:space="preserve"> </w:t>
      </w:r>
      <w:r>
        <w:rPr>
          <w:bCs/>
          <w:b/>
        </w:rPr>
        <w:t xml:space="preserve">2.22720 kgCO2e</w:t>
      </w:r>
    </w:p>
    <w:bookmarkEnd w:id="35"/>
    <w:bookmarkStart w:id="36" w:name="X968c951035322dd4da5919cd6f95277425eeb31"/>
    <w:p>
      <w:pPr>
        <w:pStyle w:val="Heading3"/>
      </w:pPr>
      <w:r>
        <w:t xml:space="preserve">Scope 3: Upstream Emissions - Purchased Goods and Services (Category 1)</w:t>
      </w:r>
    </w:p>
    <w:p>
      <w:pPr>
        <w:numPr>
          <w:ilvl w:val="0"/>
          <w:numId w:val="1010"/>
        </w:numPr>
        <w:pStyle w:val="Compact"/>
      </w:pPr>
      <w:r>
        <w:rPr>
          <w:bCs/>
          <w:b/>
        </w:rPr>
        <w:t xml:space="preserve">Materials:</w:t>
      </w:r>
    </w:p>
    <w:p>
      <w:pPr>
        <w:numPr>
          <w:ilvl w:val="1"/>
          <w:numId w:val="1011"/>
        </w:numPr>
        <w:pStyle w:val="Compact"/>
      </w:pPr>
      <w:r>
        <w:t xml:space="preserve">ABS Plastic Casing: 0.15 kg * 3.125 kgCO2e/kg = 0.46875 kgCO2e</w:t>
      </w:r>
    </w:p>
    <w:p>
      <w:pPr>
        <w:numPr>
          <w:ilvl w:val="1"/>
          <w:numId w:val="1011"/>
        </w:numPr>
        <w:pStyle w:val="Compact"/>
      </w:pPr>
      <w:r>
        <w:t xml:space="preserve">Copper Wiring: 0.03 kg * 2.5 kgCO2e/kg = 0.07500 kgCO2e</w:t>
      </w:r>
    </w:p>
    <w:p>
      <w:pPr>
        <w:numPr>
          <w:ilvl w:val="1"/>
          <w:numId w:val="1011"/>
        </w:numPr>
        <w:pStyle w:val="Compact"/>
      </w:pPr>
      <w:r>
        <w:t xml:space="preserve">Printed Circuit Board (PCB): 1 unit * 0.1625 kgCO2e/unit = 0.16250 kgCO2e [derived from 19, 32]</w:t>
      </w:r>
    </w:p>
    <w:p>
      <w:pPr>
        <w:numPr>
          <w:ilvl w:val="1"/>
          <w:numId w:val="1011"/>
        </w:numPr>
        <w:pStyle w:val="Compact"/>
      </w:pPr>
      <w:r>
        <w:t xml:space="preserve">Lithium-Ion Battery: 1 unit * 0.40000 kgCO2e/unit = 0.40000 kgCO2e [derived from 29, 30]</w:t>
      </w:r>
    </w:p>
    <w:p>
      <w:pPr>
        <w:numPr>
          <w:ilvl w:val="1"/>
          <w:numId w:val="1011"/>
        </w:numPr>
        <w:pStyle w:val="Compact"/>
      </w:pPr>
      <w:r>
        <w:t xml:space="preserve">Electronic Components (misc): 0.01 kg * 5.0 kgCO2e/kg = 0.05000 kgCO2e</w:t>
      </w:r>
    </w:p>
    <w:p>
      <w:pPr>
        <w:numPr>
          <w:ilvl w:val="0"/>
          <w:numId w:val="1010"/>
        </w:numPr>
        <w:pStyle w:val="Compact"/>
      </w:pPr>
      <w:r>
        <w:rPr>
          <w:bCs/>
          <w:b/>
        </w:rPr>
        <w:t xml:space="preserve">Total Material Emissions: 1.15625 kgCO2e</w:t>
      </w:r>
    </w:p>
    <w:bookmarkEnd w:id="36"/>
    <w:bookmarkStart w:id="37" w:name="X46a1c4e377ef7c6d1d8208520120d7e1fbefa23"/>
    <w:p>
      <w:pPr>
        <w:pStyle w:val="Heading3"/>
      </w:pPr>
      <w:r>
        <w:t xml:space="preserve">Scope 3: Upstream Emissions - Transportation and Distribution (Category 4)</w:t>
      </w:r>
    </w:p>
    <w:p>
      <w:pPr>
        <w:numPr>
          <w:ilvl w:val="0"/>
          <w:numId w:val="1012"/>
        </w:numPr>
        <w:pStyle w:val="Compact"/>
      </w:pPr>
      <w:r>
        <w:rPr>
          <w:bCs/>
          <w:b/>
        </w:rPr>
        <w:t xml:space="preserve">Calculation:</w:t>
      </w:r>
      <w:r>
        <w:t xml:space="preserve"> </w:t>
      </w:r>
      <w:r>
        <w:t xml:space="preserve">(Product Weight / 1000) * Transport Distance * Road Freight EF</w:t>
      </w:r>
    </w:p>
    <w:p>
      <w:pPr>
        <w:numPr>
          <w:ilvl w:val="0"/>
          <w:numId w:val="1012"/>
        </w:numPr>
        <w:pStyle w:val="Compact"/>
      </w:pPr>
      <w:r>
        <w:rPr>
          <w:bCs/>
          <w:b/>
        </w:rPr>
        <w:t xml:space="preserve">Emissions:</w:t>
      </w:r>
      <w:r>
        <w:t xml:space="preserve"> </w:t>
      </w:r>
      <w:r>
        <w:t xml:space="preserve">(0.25 kg / 1000) * 1500 km * 0.105 kgCO2e/tkm =</w:t>
      </w:r>
      <w:r>
        <w:t xml:space="preserve"> </w:t>
      </w:r>
      <w:r>
        <w:rPr>
          <w:bCs/>
          <w:b/>
        </w:rPr>
        <w:t xml:space="preserve">0.03938 kgCO2e</w:t>
      </w:r>
    </w:p>
    <w:p>
      <w:pPr>
        <w:pStyle w:val="FirstParagraph"/>
      </w:pPr>
      <w:r>
        <w:rPr>
          <w:bCs/>
          <w:b/>
        </w:rPr>
        <w:t xml:space="preserve">Total Manufacturing (Cradle-to-Gate) Emissions:</w:t>
      </w:r>
    </w:p>
    <w:p>
      <w:pPr>
        <w:numPr>
          <w:ilvl w:val="0"/>
          <w:numId w:val="1013"/>
        </w:numPr>
        <w:pStyle w:val="Compact"/>
      </w:pPr>
      <w:r>
        <w:t xml:space="preserve">Scope 2: 2.22720 kgCO2e</w:t>
      </w:r>
    </w:p>
    <w:p>
      <w:pPr>
        <w:numPr>
          <w:ilvl w:val="0"/>
          <w:numId w:val="1013"/>
        </w:numPr>
        <w:pStyle w:val="Compact"/>
      </w:pPr>
      <w:r>
        <w:t xml:space="preserve">Scope 3 (Materials): 1.15625 kgCO2e</w:t>
      </w:r>
    </w:p>
    <w:p>
      <w:pPr>
        <w:numPr>
          <w:ilvl w:val="0"/>
          <w:numId w:val="1013"/>
        </w:numPr>
        <w:pStyle w:val="Compact"/>
      </w:pPr>
      <w:r>
        <w:t xml:space="preserve">Scope 3 (Upstream Transport): 0.03938 kgCO2e</w:t>
      </w:r>
    </w:p>
    <w:p>
      <w:pPr>
        <w:numPr>
          <w:ilvl w:val="0"/>
          <w:numId w:val="1013"/>
        </w:numPr>
        <w:pStyle w:val="Compact"/>
      </w:pPr>
      <w:r>
        <w:rPr>
          <w:bCs/>
          <w:b/>
        </w:rPr>
        <w:t xml:space="preserve">Subtotal: 3.42283 kgCO2e</w:t>
      </w:r>
    </w:p>
    <w:p>
      <w:r>
        <w:pict>
          <v:rect style="width:0;height:1.5pt" o:hralign="center" o:hrstd="t" o:hr="t"/>
        </w:pict>
      </w:r>
    </w:p>
    <w:bookmarkEnd w:id="37"/>
    <w:bookmarkEnd w:id="38"/>
    <w:bookmarkStart w:id="42" w:name="downstream-emissions"/>
    <w:p>
      <w:pPr>
        <w:pStyle w:val="Heading2"/>
      </w:pPr>
      <w:r>
        <w:t xml:space="preserve">4.2. Downstream Emissions</w:t>
      </w:r>
    </w:p>
    <w:bookmarkStart w:id="39" w:name="X77b7bc7cbd228dae3418552ed2afdc1f70bb9d5"/>
    <w:p>
      <w:pPr>
        <w:pStyle w:val="Heading3"/>
      </w:pPr>
      <w:r>
        <w:t xml:space="preserve">Scope 3: Downstream Emissions - Transportation and Distribution (Category 9)</w:t>
      </w:r>
    </w:p>
    <w:p>
      <w:pPr>
        <w:numPr>
          <w:ilvl w:val="0"/>
          <w:numId w:val="1014"/>
        </w:numPr>
        <w:pStyle w:val="Compact"/>
      </w:pPr>
      <w:r>
        <w:rPr>
          <w:bCs/>
          <w:b/>
        </w:rPr>
        <w:t xml:space="preserve">Last-Mile Delivery:</w:t>
      </w:r>
    </w:p>
    <w:p>
      <w:pPr>
        <w:numPr>
          <w:ilvl w:val="1"/>
          <w:numId w:val="1015"/>
        </w:numPr>
        <w:pStyle w:val="Compact"/>
      </w:pPr>
      <w:r>
        <w:rPr>
          <w:bCs/>
          <w:b/>
        </w:rPr>
        <w:t xml:space="preserve">Emissions:</w:t>
      </w:r>
      <w:r>
        <w:t xml:space="preserve"> </w:t>
      </w:r>
      <w:r>
        <w:t xml:space="preserve">1 unit * 0.1 kgCO2e/parcel =</w:t>
      </w:r>
      <w:r>
        <w:t xml:space="preserve"> </w:t>
      </w:r>
      <w:r>
        <w:rPr>
          <w:bCs/>
          <w:b/>
        </w:rPr>
        <w:t xml:space="preserve">0.10000 kgCO2e</w:t>
      </w:r>
    </w:p>
    <w:bookmarkEnd w:id="39"/>
    <w:bookmarkStart w:id="40" w:name="X2a305d9356e3afecad00fcadb2de616f164b98e"/>
    <w:p>
      <w:pPr>
        <w:pStyle w:val="Heading3"/>
      </w:pPr>
      <w:r>
        <w:t xml:space="preserve">Scope 3: Downstream Emissions - Use of Sold Products (Category 11)</w:t>
      </w:r>
    </w:p>
    <w:p>
      <w:pPr>
        <w:numPr>
          <w:ilvl w:val="0"/>
          <w:numId w:val="1016"/>
        </w:numPr>
        <w:pStyle w:val="Compact"/>
      </w:pPr>
      <w:r>
        <w:rPr>
          <w:bCs/>
          <w:b/>
        </w:rPr>
        <w:t xml:space="preserve">Calculation:</w:t>
      </w:r>
      <w:r>
        <w:t xml:space="preserve"> </w:t>
      </w:r>
      <w:r>
        <w:t xml:space="preserve">Energy Consumption in Use * Product Lifespan * Assumed Grid Emission Factor</w:t>
      </w:r>
    </w:p>
    <w:p>
      <w:pPr>
        <w:numPr>
          <w:ilvl w:val="0"/>
          <w:numId w:val="1016"/>
        </w:numPr>
        <w:pStyle w:val="Compact"/>
      </w:pPr>
      <w:r>
        <w:rPr>
          <w:bCs/>
          <w:b/>
        </w:rPr>
        <w:t xml:space="preserve">Emissions:</w:t>
      </w:r>
      <w:r>
        <w:t xml:space="preserve"> </w:t>
      </w:r>
      <w:r>
        <w:t xml:space="preserve">50 kWh/year * 5 years * 0.5568 kgCO2e/kWh =</w:t>
      </w:r>
      <w:r>
        <w:t xml:space="preserve"> </w:t>
      </w:r>
      <w:r>
        <w:rPr>
          <w:bCs/>
          <w:b/>
        </w:rPr>
        <w:t xml:space="preserve">139.20000 kgCO2e</w:t>
      </w:r>
    </w:p>
    <w:bookmarkEnd w:id="40"/>
    <w:bookmarkStart w:id="41" w:name="Xdaba33eca95098eefb8df46d1c5aa4cae29be56"/>
    <w:p>
      <w:pPr>
        <w:pStyle w:val="Heading3"/>
      </w:pPr>
      <w:r>
        <w:t xml:space="preserve">Scope 3: Downstream Emissions - End-of-Life Treatment of Sold Products (Category 12)</w:t>
      </w:r>
    </w:p>
    <w:p>
      <w:pPr>
        <w:numPr>
          <w:ilvl w:val="0"/>
          <w:numId w:val="1017"/>
        </w:numPr>
        <w:pStyle w:val="Compact"/>
      </w:pPr>
      <w:r>
        <w:rPr>
          <w:bCs/>
          <w:b/>
        </w:rPr>
        <w:t xml:space="preserve">Recycled Portion (80%):</w:t>
      </w:r>
      <w:r>
        <w:t xml:space="preserve"> </w:t>
      </w:r>
      <w:r>
        <w:t xml:space="preserve">Assumed to displace virgin material production. For the plastic content (0.15kg) of the recycled portion (0.8 * 0.15 = 0.12kg), a credit of -2.0 kgCO2e/kg is applied. This is an illustrative credit reflecting avoided virgin production.</w:t>
      </w:r>
    </w:p>
    <w:p>
      <w:pPr>
        <w:numPr>
          <w:ilvl w:val="1"/>
          <w:numId w:val="1018"/>
        </w:numPr>
        <w:pStyle w:val="Compact"/>
      </w:pPr>
      <w:r>
        <w:rPr>
          <w:bCs/>
          <w:b/>
        </w:rPr>
        <w:t xml:space="preserve">Plastic Recycling Credit:</w:t>
      </w:r>
      <w:r>
        <w:t xml:space="preserve"> </w:t>
      </w:r>
      <w:r>
        <w:t xml:space="preserve">0.12 kg * -2.0 kgCO2e/kg = -0.24000 kgCO2e</w:t>
      </w:r>
    </w:p>
    <w:p>
      <w:pPr>
        <w:numPr>
          <w:ilvl w:val="1"/>
          <w:numId w:val="1018"/>
        </w:numPr>
        <w:pStyle w:val="Compact"/>
      </w:pPr>
      <w:r>
        <w:t xml:space="preserve">For other materials, assuming a similar avoided emissions principle or a net-zero impact for processing due to circular programs for simplicity.</w:t>
      </w:r>
    </w:p>
    <w:p>
      <w:pPr>
        <w:numPr>
          <w:ilvl w:val="0"/>
          <w:numId w:val="1017"/>
        </w:numPr>
        <w:pStyle w:val="Compact"/>
      </w:pPr>
      <w:r>
        <w:rPr>
          <w:bCs/>
          <w:b/>
        </w:rPr>
        <w:t xml:space="preserve">Landfilled Portion (20%):</w:t>
      </w:r>
    </w:p>
    <w:p>
      <w:pPr>
        <w:numPr>
          <w:ilvl w:val="1"/>
          <w:numId w:val="1019"/>
        </w:numPr>
        <w:pStyle w:val="Compact"/>
      </w:pPr>
      <w:r>
        <w:rPr>
          <w:bCs/>
          <w:b/>
        </w:rPr>
        <w:t xml:space="preserve">Calculation:</w:t>
      </w:r>
      <w:r>
        <w:t xml:space="preserve"> </w:t>
      </w:r>
      <w:r>
        <w:t xml:space="preserve">(Total Product Weight * Landfilled Percentage) * Landfill Emission Factor</w:t>
      </w:r>
    </w:p>
    <w:p>
      <w:pPr>
        <w:numPr>
          <w:ilvl w:val="1"/>
          <w:numId w:val="1019"/>
        </w:numPr>
        <w:pStyle w:val="Compact"/>
      </w:pPr>
      <w:r>
        <w:rPr>
          <w:bCs/>
          <w:b/>
        </w:rPr>
        <w:t xml:space="preserve">Emissions:</w:t>
      </w:r>
      <w:r>
        <w:t xml:space="preserve"> </w:t>
      </w:r>
      <w:r>
        <w:t xml:space="preserve">(0.25 kg * 0.20) * 0.033 kgCO2e/kg = 0.00165 kgCO2e</w:t>
      </w:r>
    </w:p>
    <w:p>
      <w:pPr>
        <w:numPr>
          <w:ilvl w:val="0"/>
          <w:numId w:val="1017"/>
        </w:numPr>
        <w:pStyle w:val="Compact"/>
      </w:pPr>
      <w:r>
        <w:rPr>
          <w:bCs/>
          <w:b/>
        </w:rPr>
        <w:t xml:space="preserve">Total End-of-Life Emissions: -0.24000 kgCO2e + 0.00165 kgCO2e = -0.23835 kgCO2e</w:t>
      </w:r>
    </w:p>
    <w:p>
      <w:r>
        <w:pict>
          <v:rect style="width:0;height:1.5pt" o:hralign="center" o:hrstd="t" o:hr="t"/>
        </w:pict>
      </w:r>
    </w:p>
    <w:bookmarkEnd w:id="41"/>
    <w:bookmarkEnd w:id="42"/>
    <w:bookmarkEnd w:id="43"/>
    <w:bookmarkStart w:id="47" w:name="review-report"/>
    <w:p>
      <w:pPr>
        <w:pStyle w:val="Heading1"/>
      </w:pPr>
      <w:r>
        <w:t xml:space="preserve">5. Review &amp; Report</w:t>
      </w:r>
    </w:p>
    <w:bookmarkStart w:id="44" w:name="total-product-carbon-footprint-pcf"/>
    <w:p>
      <w:pPr>
        <w:pStyle w:val="Heading2"/>
      </w:pPr>
      <w:r>
        <w:t xml:space="preserve">5.1. Total Product Carbon Footprint (PCF)</w:t>
      </w:r>
    </w:p>
    <w:p>
      <w:pPr>
        <w:pStyle w:val="FirstParagraph"/>
      </w:pPr>
      <w:r>
        <w:t xml:space="preserve">The total lifecycle carbon footprint for one Smart IoT Sensor (vgkipfmlgm)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rPr>
                <w:bCs/>
                <w:b/>
              </w:rPr>
              <w:t xml:space="preserve">Manufacturing (Cradle-to-Gate)</w:t>
            </w:r>
          </w:p>
        </w:tc>
        <w:tc>
          <w:tcPr/>
          <w:p>
            <w:pPr>
              <w:pStyle w:val="Compact"/>
            </w:pPr>
          </w:p>
        </w:tc>
        <w:tc>
          <w:tcPr/>
          <w:p>
            <w:pPr>
              <w:pStyle w:val="Compact"/>
            </w:pPr>
          </w:p>
        </w:tc>
      </w:tr>
      <w:tr>
        <w:tc>
          <w:tcPr/>
          <w:p>
            <w:pPr>
              <w:pStyle w:val="Compact"/>
              <w:jc w:val="left"/>
            </w:pPr>
            <w:r>
              <w:t xml:space="preserve">    Purchased Electricity</w:t>
            </w:r>
          </w:p>
        </w:tc>
        <w:tc>
          <w:tcPr/>
          <w:p>
            <w:pPr>
              <w:pStyle w:val="Compact"/>
              <w:jc w:val="left"/>
            </w:pPr>
            <w:r>
              <w:t xml:space="preserve">Scope 2</w:t>
            </w:r>
          </w:p>
        </w:tc>
        <w:tc>
          <w:tcPr/>
          <w:p>
            <w:pPr>
              <w:pStyle w:val="Compact"/>
              <w:jc w:val="left"/>
            </w:pPr>
            <w:r>
              <w:t xml:space="preserve">2.22720</w:t>
            </w:r>
          </w:p>
        </w:tc>
      </w:tr>
      <w:tr>
        <w:tc>
          <w:tcPr/>
          <w:p>
            <w:pPr>
              <w:pStyle w:val="Compact"/>
              <w:jc w:val="left"/>
            </w:pPr>
            <w:r>
              <w:t xml:space="preserve">    Materials (Purchased Goods &amp; Services)</w:t>
            </w:r>
          </w:p>
        </w:tc>
        <w:tc>
          <w:tcPr/>
          <w:p>
            <w:pPr>
              <w:pStyle w:val="Compact"/>
              <w:jc w:val="left"/>
            </w:pPr>
            <w:r>
              <w:t xml:space="preserve">Scope 3, Category 1</w:t>
            </w:r>
          </w:p>
        </w:tc>
        <w:tc>
          <w:tcPr/>
          <w:p>
            <w:pPr>
              <w:pStyle w:val="Compact"/>
              <w:jc w:val="left"/>
            </w:pPr>
            <w:r>
              <w:t xml:space="preserve">1.15625</w:t>
            </w:r>
          </w:p>
        </w:tc>
      </w:tr>
      <w:tr>
        <w:tc>
          <w:tcPr/>
          <w:p>
            <w:pPr>
              <w:pStyle w:val="Compact"/>
              <w:jc w:val="left"/>
            </w:pPr>
            <w:r>
              <w:t xml:space="preserve">    Upstream Transportation</w:t>
            </w:r>
          </w:p>
        </w:tc>
        <w:tc>
          <w:tcPr/>
          <w:p>
            <w:pPr>
              <w:pStyle w:val="Compact"/>
              <w:jc w:val="left"/>
            </w:pPr>
            <w:r>
              <w:t xml:space="preserve">Scope 3, Category 4</w:t>
            </w:r>
          </w:p>
        </w:tc>
        <w:tc>
          <w:tcPr/>
          <w:p>
            <w:pPr>
              <w:pStyle w:val="Compact"/>
              <w:jc w:val="left"/>
            </w:pPr>
            <w:r>
              <w:t xml:space="preserve">0.03938</w:t>
            </w:r>
          </w:p>
        </w:tc>
      </w:tr>
      <w:tr>
        <w:tc>
          <w:tcPr/>
          <w:p>
            <w:pPr>
              <w:pStyle w:val="Compact"/>
              <w:jc w:val="left"/>
            </w:pPr>
            <w:r>
              <w:rPr>
                <w:bCs/>
                <w:b/>
              </w:rPr>
              <w:t xml:space="preserve">Downstream Lifecycle</w:t>
            </w:r>
          </w:p>
        </w:tc>
        <w:tc>
          <w:tcPr/>
          <w:p>
            <w:pPr>
              <w:pStyle w:val="Compact"/>
            </w:pPr>
          </w:p>
        </w:tc>
        <w:tc>
          <w:tcPr/>
          <w:p>
            <w:pPr>
              <w:pStyle w:val="Compact"/>
            </w:pPr>
          </w:p>
        </w:tc>
      </w:tr>
      <w:tr>
        <w:tc>
          <w:tcPr/>
          <w:p>
            <w:pPr>
              <w:pStyle w:val="Compact"/>
              <w:jc w:val="left"/>
            </w:pPr>
            <w:r>
              <w:t xml:space="preserve">    Downstream Transportation (Last-Mile)</w:t>
            </w:r>
          </w:p>
        </w:tc>
        <w:tc>
          <w:tcPr/>
          <w:p>
            <w:pPr>
              <w:pStyle w:val="Compact"/>
              <w:jc w:val="left"/>
            </w:pPr>
            <w:r>
              <w:t xml:space="preserve">Scope 3, Category 9</w:t>
            </w:r>
          </w:p>
        </w:tc>
        <w:tc>
          <w:tcPr/>
          <w:p>
            <w:pPr>
              <w:pStyle w:val="Compact"/>
              <w:jc w:val="left"/>
            </w:pPr>
            <w:r>
              <w:t xml:space="preserve">0.10000</w:t>
            </w:r>
          </w:p>
        </w:tc>
      </w:tr>
      <w:tr>
        <w:tc>
          <w:tcPr/>
          <w:p>
            <w:pPr>
              <w:pStyle w:val="Compact"/>
              <w:jc w:val="left"/>
            </w:pPr>
            <w:r>
              <w:t xml:space="preserve">    Use of Sold Product</w:t>
            </w:r>
          </w:p>
        </w:tc>
        <w:tc>
          <w:tcPr/>
          <w:p>
            <w:pPr>
              <w:pStyle w:val="Compact"/>
              <w:jc w:val="left"/>
            </w:pPr>
            <w:r>
              <w:t xml:space="preserve">Scope 3, Category 11</w:t>
            </w:r>
          </w:p>
        </w:tc>
        <w:tc>
          <w:tcPr/>
          <w:p>
            <w:pPr>
              <w:pStyle w:val="Compact"/>
              <w:jc w:val="left"/>
            </w:pPr>
            <w:r>
              <w:t xml:space="preserve">139.20000</w:t>
            </w:r>
          </w:p>
        </w:tc>
      </w:tr>
      <w:tr>
        <w:tc>
          <w:tcPr/>
          <w:p>
            <w:pPr>
              <w:pStyle w:val="Compact"/>
              <w:jc w:val="left"/>
            </w:pPr>
            <w:r>
              <w:t xml:space="preserve">    End-of-Life Treatment</w:t>
            </w:r>
          </w:p>
        </w:tc>
        <w:tc>
          <w:tcPr/>
          <w:p>
            <w:pPr>
              <w:pStyle w:val="Compact"/>
              <w:jc w:val="left"/>
            </w:pPr>
            <w:r>
              <w:t xml:space="preserve">Scope 3, Category 12</w:t>
            </w:r>
          </w:p>
        </w:tc>
        <w:tc>
          <w:tcPr/>
          <w:p>
            <w:pPr>
              <w:pStyle w:val="Compact"/>
              <w:jc w:val="left"/>
            </w:pPr>
            <w:r>
              <w:t xml:space="preserve">-0.23835</w:t>
            </w:r>
          </w:p>
        </w:tc>
      </w:tr>
      <w:tr>
        <w:tc>
          <w:tcPr>
            <w:gridSpan w:val="2"/>
          </w:tcPr>
          <w:p>
            <w:pPr>
              <w:pStyle w:val="Compact"/>
              <w:jc w:val="left"/>
            </w:pPr>
            <w:r>
              <w:rPr>
                <w:bCs/>
                <w:b/>
              </w:rPr>
              <w:t xml:space="preserve">TOTAL PRODUCT CARBON FOOTPRINT</w:t>
            </w:r>
          </w:p>
        </w:tc>
        <w:tc>
          <w:tcPr/>
          <w:p>
            <w:pPr>
              <w:pStyle w:val="Compact"/>
              <w:jc w:val="left"/>
            </w:pPr>
            <w:r>
              <w:rPr>
                <w:bCs/>
                <w:b/>
              </w:rPr>
              <w:t xml:space="preserve">142.48448 kgCO2e/unit</w:t>
            </w:r>
          </w:p>
        </w:tc>
      </w:tr>
    </w:tbl>
    <w:bookmarkEnd w:id="44"/>
    <w:bookmarkStart w:id="45" w:name="emission-hotspots-and-reliability"/>
    <w:p>
      <w:pPr>
        <w:pStyle w:val="Heading2"/>
      </w:pPr>
      <w:r>
        <w:t xml:space="preserve">5.2. Emission Hotspots and Reliability</w:t>
      </w:r>
    </w:p>
    <w:p>
      <w:pPr>
        <w:pStyle w:val="FirstParagraph"/>
      </w:pPr>
      <w:r>
        <w:t xml:space="preserve">The analysis reveals significant emission hotspots:</w:t>
      </w:r>
    </w:p>
    <w:p>
      <w:pPr>
        <w:numPr>
          <w:ilvl w:val="0"/>
          <w:numId w:val="1020"/>
        </w:numPr>
        <w:pStyle w:val="Compact"/>
      </w:pPr>
      <w:r>
        <w:rPr>
          <w:bCs/>
          <w:b/>
        </w:rPr>
        <w:t xml:space="preserve">Use Phase Dominance:</w:t>
      </w:r>
      <w:r>
        <w:t xml:space="preserve"> </w:t>
      </w:r>
      <w:r>
        <w:t xml:space="preserve">The most substantial contributor to the PCF of the Smart IoT Sensor is the</w:t>
      </w:r>
      <w:r>
        <w:t xml:space="preserve"> </w:t>
      </w:r>
      <w:r>
        <w:rPr>
          <w:bCs/>
          <w:b/>
        </w:rPr>
        <w:t xml:space="preserve">Use Phase</w:t>
      </w:r>
      <w:r>
        <w:t xml:space="preserve">, accounting for approximately 97.7% of the total emissions (139.2 kgCO2e). This highlights the critical importance of energy efficiency during the product\'s 5-year lifespan. This is primarily due to the energy consumption of 50 kWh/year and the reliance on the China electricity grid mix (even with 60% renewable energy in production, the use phase is much longer and consumer-dependent).</w:t>
      </w:r>
    </w:p>
    <w:p>
      <w:pPr>
        <w:numPr>
          <w:ilvl w:val="0"/>
          <w:numId w:val="1020"/>
        </w:numPr>
        <w:pStyle w:val="Compact"/>
      </w:pPr>
      <w:r>
        <w:rPr>
          <w:bCs/>
          <w:b/>
        </w:rPr>
        <w:t xml:space="preserve">Manufacturing Impact:</w:t>
      </w:r>
      <w:r>
        <w:t xml:space="preserve"> </w:t>
      </w:r>
      <w:r>
        <w:t xml:space="preserve">While overshadowed by the use phase, manufacturing (including material acquisition and factory energy) is the second largest contributor, making up approximately 2.4% of the total PCF. Optimizing material choices, increasing the use of lower-carbon materials, and enhancing renewable energy integration beyond the current 60% in production facilities will be crucial for further reductions.</w:t>
      </w:r>
    </w:p>
    <w:p>
      <w:pPr>
        <w:numPr>
          <w:ilvl w:val="0"/>
          <w:numId w:val="1020"/>
        </w:numPr>
        <w:pStyle w:val="Compact"/>
      </w:pPr>
      <w:r>
        <w:rPr>
          <w:bCs/>
          <w:b/>
        </w:rPr>
        <w:t xml:space="preserve">End-of-Life Credit:</w:t>
      </w:r>
      <w:r>
        <w:t xml:space="preserve"> </w:t>
      </w:r>
      <w:r>
        <w:t xml:space="preserve">The high recyclability (80%) and established take-back programs result in a net negative emission (credit) for the end-of-life phase, demonstrating the positive impact of circular economy initiatives.</w:t>
      </w:r>
    </w:p>
    <w:p>
      <w:pPr>
        <w:numPr>
          <w:ilvl w:val="0"/>
          <w:numId w:val="1020"/>
        </w:numPr>
        <w:pStyle w:val="Compact"/>
      </w:pPr>
      <w:r>
        <w:rPr>
          <w:bCs/>
          <w:b/>
        </w:rPr>
        <w:t xml:space="preserve">Transportation:</w:t>
      </w:r>
      <w:r>
        <w:t xml:space="preserve"> </w:t>
      </w:r>
      <w:r>
        <w:t xml:space="preserve">Both upstream and downstream transportation contribute a relatively small portion to the overall PCF, but still represent an area for continuous optimization through efficient logistics and alternative fuels.</w:t>
      </w:r>
    </w:p>
    <w:p>
      <w:pPr>
        <w:pStyle w:val="FirstParagraph"/>
      </w:pPr>
      <w:r>
        <w:rPr>
          <w:bCs/>
          <w:b/>
        </w:rPr>
        <w:t xml:space="preserve">Reliability:</w:t>
      </w:r>
      <w:r>
        <w:t xml:space="preserve"> </w:t>
      </w:r>
      <w:r>
        <w:t xml:space="preserve">The calculations are based on the provided parameters and a combination of authoritative emission factors from sources like the GHG Protocol, DEFRA, EPA, and other peer-reviewed databases (e.g., Climatiq, Plastics Europe). Assumptions were made where specific data was not available (e.g., specific copper extrusion EF, last-mile delivery EF, and general miscellaneous electronics EFs), relying on robust proxies. The application of the 2026 LSR Standard principles and commitment to 95% Scope 3 coverage enhances the comprehensiveness of this assessment.</w:t>
      </w:r>
    </w:p>
    <w:bookmarkEnd w:id="45"/>
    <w:bookmarkStart w:id="46" w:name="recommendations"/>
    <w:p>
      <w:pPr>
        <w:pStyle w:val="Heading2"/>
      </w:pPr>
      <w:r>
        <w:t xml:space="preserve">5.3. Recommendations</w:t>
      </w:r>
    </w:p>
    <w:p>
      <w:pPr>
        <w:pStyle w:val="FirstParagraph"/>
      </w:pPr>
      <w:r>
        <w:t xml:space="preserve">Based on this PCF analysis,</w:t>
      </w:r>
      <w:r>
        <w:t xml:space="preserve"> </w:t>
      </w:r>
      <w:r>
        <w:rPr>
          <w:bCs/>
          <w:b/>
        </w:rPr>
        <w:t xml:space="preserve">Dr. Anya Sharma (zynqhddkin)</w:t>
      </w:r>
      <w:r>
        <w:t xml:space="preserve">, Senior Sustainability Consultant, recommends the following actions for</w:t>
      </w:r>
      <w:r>
        <w:t xml:space="preserve"> </w:t>
      </w:r>
      <w:r>
        <w:rPr>
          <w:bCs/>
          <w:b/>
        </w:rPr>
        <w:t xml:space="preserve">EcoSense Innovations (fqofnnivfy)</w:t>
      </w:r>
      <w:r>
        <w:t xml:space="preserve">:</w:t>
      </w:r>
    </w:p>
    <w:p>
      <w:pPr>
        <w:numPr>
          <w:ilvl w:val="0"/>
          <w:numId w:val="1021"/>
        </w:numPr>
        <w:pStyle w:val="Compact"/>
      </w:pPr>
      <w:r>
        <w:rPr>
          <w:bCs/>
          <w:b/>
        </w:rPr>
        <w:t xml:space="preserve">Prioritize Use Phase Efficiency:</w:t>
      </w:r>
      <w:r>
        <w:t xml:space="preserve"> </w:t>
      </w:r>
      <w:r>
        <w:t xml:space="preserve">Focus on product design innovations that significantly reduce energy consumption during the 5-year lifespan of the Smart IoT Sensor. Explore low-power modes, advanced energy management systems, and extended battery life where applicable.</w:t>
      </w:r>
    </w:p>
    <w:p>
      <w:pPr>
        <w:numPr>
          <w:ilvl w:val="0"/>
          <w:numId w:val="1021"/>
        </w:numPr>
        <w:pStyle w:val="Compact"/>
      </w:pPr>
      <w:r>
        <w:rPr>
          <w:bCs/>
          <w:b/>
        </w:rPr>
        <w:t xml:space="preserve">Promote Renewable Energy Adoption in Use:</w:t>
      </w:r>
      <w:r>
        <w:t xml:space="preserve"> </w:t>
      </w:r>
      <w:r>
        <w:t xml:space="preserve">Investigate options to encourage end-users to power their devices with renewable energy sources, perhaps through partnerships or providing guidance/incentives.</w:t>
      </w:r>
    </w:p>
    <w:p>
      <w:pPr>
        <w:numPr>
          <w:ilvl w:val="0"/>
          <w:numId w:val="1021"/>
        </w:numPr>
        <w:pStyle w:val="Compact"/>
      </w:pPr>
      <w:r>
        <w:rPr>
          <w:bCs/>
          <w:b/>
        </w:rPr>
        <w:t xml:space="preserve">Supply Chain Engagement:</w:t>
      </w:r>
      <w:r>
        <w:t xml:space="preserve"> </w:t>
      </w:r>
      <w:r>
        <w:t xml:space="preserve">Collaborate closely with material suppliers to identify and source even lower-carbon materials and components, especially for high-impact items like plastics and batteries. Push for greater transparency in supplier Scope 1 and 2 emissions.</w:t>
      </w:r>
    </w:p>
    <w:p>
      <w:pPr>
        <w:numPr>
          <w:ilvl w:val="0"/>
          <w:numId w:val="1021"/>
        </w:numPr>
        <w:pStyle w:val="Compact"/>
      </w:pPr>
      <w:r>
        <w:rPr>
          <w:bCs/>
          <w:b/>
        </w:rPr>
        <w:t xml:space="preserve">Optimize Manufacturing Energy:</w:t>
      </w:r>
      <w:r>
        <w:t xml:space="preserve"> </w:t>
      </w:r>
      <w:r>
        <w:t xml:space="preserve">Continue efforts to increase renewable energy usage in own and tier-1 supplier manufacturing operations beyond the current 60%, and investigate opportunities for on-site renewable generation.</w:t>
      </w:r>
    </w:p>
    <w:p>
      <w:pPr>
        <w:numPr>
          <w:ilvl w:val="0"/>
          <w:numId w:val="1021"/>
        </w:numPr>
        <w:pStyle w:val="Compact"/>
      </w:pPr>
      <w:r>
        <w:rPr>
          <w:bCs/>
          <w:b/>
        </w:rPr>
        <w:t xml:space="preserve">Enhance Circularity:</w:t>
      </w:r>
      <w:r>
        <w:t xml:space="preserve"> </w:t>
      </w:r>
      <w:r>
        <w:t xml:space="preserve">Further expand and promote the established take-back and recycling programs, ensuring high collection and processing rates for all materials to maximize avoided emissions benefits. Research end-of-life solutions for complex electronic components not easily recycled.</w:t>
      </w:r>
    </w:p>
    <w:p>
      <w:pPr>
        <w:numPr>
          <w:ilvl w:val="0"/>
          <w:numId w:val="1021"/>
        </w:numPr>
        <w:pStyle w:val="Compact"/>
      </w:pPr>
      <w:r>
        <w:rPr>
          <w:bCs/>
          <w:b/>
        </w:rPr>
        <w:t xml:space="preserve">Data Granularity:</w:t>
      </w:r>
      <w:r>
        <w:t xml:space="preserve"> </w:t>
      </w:r>
      <w:r>
        <w:t xml:space="preserve">Invest in collecting more specific primary data for high-impact material EFs (e.g., from direct suppliers) and for actual use-phase electricity mix of customers, if feasible, to further refine PCF accuracy.</w:t>
      </w:r>
    </w:p>
    <w:p>
      <w:r>
        <w:pict>
          <v:rect style="width:0;height:1.5pt" o:hralign="center" o:hrstd="t" o:hr="t"/>
        </w:pict>
      </w:r>
    </w:p>
    <w:p>
      <w:pPr>
        <w:pStyle w:val="FirstParagraph"/>
      </w:pPr>
      <w:r>
        <w:t xml:space="preserve">Confidential - Internal Use Only | Page</w:t>
      </w:r>
      <w:r>
        <w:t xml:space="preserve"> </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Smart IoT Sensor</dc:title>
  <dc:creator/>
  <dc:description>High-detail Product Carbon Footprint (PCF) analysis for Smart IoT Sensor (vgkipfmlgm) by EcoSense Innovations (fqofnnivfy), following GHG Protocol standards and 2026 LSR update.</dc:description>
  <dc:language>en</dc:language>
  <cp:keywords/>
  <dcterms:created xsi:type="dcterms:W3CDTF">2026-07-15T13:28:58Z</dcterms:created>
  <dcterms:modified xsi:type="dcterms:W3CDTF">2026-07-15T13:28:58Z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