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r>
        <w:t xml:space="preserve"> </w:t>
      </w:r>
      <w:r>
        <w:t xml:space="preserve">(Model</w:t>
      </w:r>
      <w:r>
        <w:t xml:space="preserve"> </w:t>
      </w:r>
      <w:r>
        <w:t xml:space="preserve">hgwjmdzotv)</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Smart IoT Sensor (Model hgwjmdzotv)</w:t>
      </w:r>
    </w:p>
    <w:p>
      <w:pPr>
        <w:pStyle w:val="BodyText"/>
      </w:pPr>
      <w:r>
        <w:t xml:space="preserve">Company: zljgpvxxiy</w:t>
      </w:r>
    </w:p>
    <w:p>
      <w:pPr>
        <w:pStyle w:val="BodyText"/>
      </w:pPr>
      <w:r>
        <w:t xml:space="preserve">Senior Sustainability Consultant: hmnlmuumts</w:t>
      </w:r>
    </w:p>
    <w:p>
      <w:pPr>
        <w:pStyle w:val="BodyText"/>
      </w:pPr>
      <w:r>
        <w:br/>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Certain parameters were simulated with illustrative data due to placeholder values in the prompt.</w:t>
      </w:r>
    </w:p>
    <w:bookmarkEnd w:id="20"/>
    <w:p>
      <w:pPr>
        <w:pStyle w:val="BodyText"/>
      </w:pPr>
      <w:r>
        <w:t xml:space="preserve">Generated Date: Tuesday, June 2, 2026</w:t>
      </w:r>
    </w:p>
    <w:bookmarkStart w:id="46" w:name="X916e5e7cb277faea5fc1625f9e72596f5c881cd"/>
    <w:p>
      <w:pPr>
        <w:pStyle w:val="Heading1"/>
      </w:pPr>
      <w:r>
        <w:t xml:space="preserve">Product Carbon Footprint (PCF) Analysis Report for Smart IoT Sensor (Model hgwjmdzotv)</w:t>
      </w:r>
    </w:p>
    <w:p>
      <w:pPr>
        <w:pStyle w:val="FirstParagraph"/>
      </w:pPr>
      <w:r>
        <w:t xml:space="preserve">As</w:t>
      </w:r>
      <w:r>
        <w:t xml:space="preserve"> </w:t>
      </w:r>
      <w:r>
        <w:rPr>
          <w:bCs/>
          <w:b/>
        </w:rPr>
        <w:t xml:space="preserve">hmnlmuumts</w:t>
      </w:r>
      <w:r>
        <w:t xml:space="preserve">, Senior Sustainability Consultant for</w:t>
      </w:r>
      <w:r>
        <w:t xml:space="preserve"> </w:t>
      </w:r>
      <w:r>
        <w:rPr>
          <w:bCs/>
          <w:b/>
        </w:rPr>
        <w:t xml:space="preserve">zljgpvxxiy</w:t>
      </w:r>
      <w:r>
        <w:t xml:space="preserve">, I have performed a high-detail Product Carbon Footprint (PCF) analysis for the Smart IoT Sensor, Model</w:t>
      </w:r>
      <w:r>
        <w:t xml:space="preserve"> </w:t>
      </w:r>
      <w:r>
        <w:rPr>
          <w:bCs/>
          <w:b/>
        </w:rPr>
        <w:t xml:space="preserve">hgwjmdzotv</w:t>
      </w:r>
      <w:r>
        <w:t xml:space="preserve">. This report adheres strictly to the GHG Protocol accounting standard, incorporating the latest 2026 Land Sector and Removals (LSR) update and aiming for at least 95% coverage for Scope 3 reporting, as per 2026 requirements. The analysis provides a comprehensive overview of greenhouse gas emissions across the product\'s lifecycle.</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analysis for the Smart IoT Sensor (Model</w:t>
      </w:r>
      <w:r>
        <w:t xml:space="preserve"> </w:t>
      </w:r>
      <w:r>
        <w:rPr>
          <w:bCs/>
          <w:b/>
        </w:rPr>
        <w:t xml:space="preserve">hgwjmdzotv</w:t>
      </w:r>
      <w:r>
        <w:t xml:space="preserve">) by</w:t>
      </w:r>
      <w:r>
        <w:t xml:space="preserve"> </w:t>
      </w:r>
      <w:r>
        <w:rPr>
          <w:bCs/>
          <w:b/>
        </w:rPr>
        <w:t xml:space="preserve">zljgpvxxiy</w:t>
      </w:r>
      <w:r>
        <w:t xml:space="preserve"> </w:t>
      </w:r>
      <w:r>
        <w:t xml:space="preserve">reveals a total lifecycle carbon footprint of approximately</w:t>
      </w:r>
      <w:r>
        <w:t xml:space="preserve"> </w:t>
      </w:r>
      <w:r>
        <w:rPr>
          <w:bCs/>
          <w:b/>
        </w:rPr>
        <w:t xml:space="preserve">4.84 kg CO2e</w:t>
      </w:r>
      <w:r>
        <w:t xml:space="preserve"> </w:t>
      </w:r>
      <w:r>
        <w:t xml:space="preserve">per functional unit (1.0 unit). The most significant contributors to the overall footprint are the use phase (energy consumption during operation) and raw material acquisition. The production phase also contributes notably, while transportation, though geographically extensive, has a comparatively smaller impact per unit. The incorporation of circular economy principles, specifically high recyclability and a take-back program, provides a net carbon benefit at the end-of-life stage, demonstrating positive sustainability efforts.</w:t>
      </w:r>
    </w:p>
    <w:p>
      <w:r>
        <w:pict>
          <v:rect style="width:0;height:1.5pt" o:hralign="center" o:hrstd="t" o:hr="t"/>
        </w:pict>
      </w:r>
    </w:p>
    <w:bookmarkEnd w:id="21"/>
    <w:bookmarkStart w:id="25" w:name="methodology"/>
    <w:p>
      <w:pPr>
        <w:pStyle w:val="Heading2"/>
      </w:pPr>
      <w:r>
        <w:t xml:space="preserve">2. Methodology</w:t>
      </w:r>
    </w:p>
    <w:p>
      <w:pPr>
        <w:pStyle w:val="FirstParagraph"/>
      </w:pPr>
      <w:r>
        <w:t xml:space="preserve">The PCF analysis followed a five-step methodology in accordance with GHG Protocol guidelines: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and map all relevant lifecycle stages and associated activities.</w:t>
      </w:r>
    </w:p>
    <w:p>
      <w:pPr>
        <w:numPr>
          <w:ilvl w:val="0"/>
          <w:numId w:val="1001"/>
        </w:numPr>
        <w:pStyle w:val="Compact"/>
      </w:pPr>
      <w:r>
        <w:rPr>
          <w:bCs/>
          <w:b/>
        </w:rPr>
        <w:t xml:space="preserve">Collect Data:</w:t>
      </w:r>
      <w:r>
        <w:t xml:space="preserve"> </w:t>
      </w:r>
      <w:r>
        <w:t xml:space="preserve">Gather primary and secondary data for material, energy, and transportation inputs.</w:t>
      </w:r>
    </w:p>
    <w:p>
      <w:pPr>
        <w:numPr>
          <w:ilvl w:val="0"/>
          <w:numId w:val="1001"/>
        </w:numPr>
        <w:pStyle w:val="Compact"/>
      </w:pPr>
      <w:r>
        <w:rPr>
          <w:bCs/>
          <w:b/>
        </w:rPr>
        <w:t xml:space="preserve">Calculate Emissions:</w:t>
      </w:r>
      <w:r>
        <w:t xml:space="preserve"> </w:t>
      </w:r>
      <w:r>
        <w:t xml:space="preserve">Quantify greenhouse gas emissions (CO2e) for each lifecycle stage by applying appropriate emission factors to activity data.</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adherence-to-ghg-protocol"/>
    <w:p>
      <w:pPr>
        <w:pStyle w:val="Heading3"/>
      </w:pPr>
      <w:r>
        <w:t xml:space="preserve">2.1. Adherence to GHG Protocol</w:t>
      </w:r>
    </w:p>
    <w:p>
      <w:pPr>
        <w:pStyle w:val="FirstParagraph"/>
      </w:pPr>
      <w:r>
        <w:t xml:space="preserve">This report categorizes emissions into:</w:t>
      </w:r>
    </w:p>
    <w:p>
      <w:pPr>
        <w:numPr>
          <w:ilvl w:val="0"/>
          <w:numId w:val="1002"/>
        </w:numPr>
        <w:pStyle w:val="Compact"/>
      </w:pPr>
      <w:r>
        <w:rPr>
          <w:bCs/>
          <w:b/>
        </w:rPr>
        <w:t xml:space="preserve">Scope 1:</w:t>
      </w:r>
      <w:r>
        <w:t xml:space="preserve"> </w:t>
      </w:r>
      <w:r>
        <w:t xml:space="preserve">Direct emissions from owned or controlled sources.</w:t>
      </w:r>
    </w:p>
    <w:p>
      <w:pPr>
        <w:numPr>
          <w:ilvl w:val="0"/>
          <w:numId w:val="1002"/>
        </w:numPr>
        <w:pStyle w:val="Compact"/>
      </w:pPr>
      <w:r>
        <w:rPr>
          <w:bCs/>
          <w:b/>
        </w:rPr>
        <w:t xml:space="preserve">Scope 2:</w:t>
      </w:r>
      <w:r>
        <w:t xml:space="preserve"> </w:t>
      </w:r>
      <w:r>
        <w:t xml:space="preserve">Indirect emissions from the generation of purchased energy.</w:t>
      </w:r>
    </w:p>
    <w:p>
      <w:pPr>
        <w:numPr>
          <w:ilvl w:val="0"/>
          <w:numId w:val="1002"/>
        </w:numPr>
        <w:pStyle w:val="Compact"/>
      </w:pPr>
      <w:r>
        <w:rPr>
          <w:bCs/>
          <w:b/>
        </w:rPr>
        <w:t xml:space="preserve">Scope 3:</w:t>
      </w:r>
      <w:r>
        <w:t xml:space="preserve"> </w:t>
      </w:r>
      <w:r>
        <w:t xml:space="preserve">All other indirect emissions that occur in the value chain of the reporting company, both upstream and downstream.</w:t>
      </w:r>
    </w:p>
    <w:p>
      <w:pPr>
        <w:pStyle w:val="FirstParagraph"/>
      </w:pPr>
      <w:r>
        <w:t xml:space="preserve">The</w:t>
      </w:r>
      <w:r>
        <w:t xml:space="preserve"> </w:t>
      </w:r>
      <w:r>
        <w:rPr>
          <w:bCs/>
          <w:b/>
        </w:rPr>
        <w:t xml:space="preserve">Accounting Standard</w:t>
      </w:r>
      <w:r>
        <w:t xml:space="preserve"> </w:t>
      </w:r>
      <w:r>
        <w:t xml:space="preserve">applied throughout this analysis is the</w:t>
      </w:r>
      <w:r>
        <w:t xml:space="preserve"> </w:t>
      </w:r>
      <w:r>
        <w:rPr>
          <w:bCs/>
          <w:b/>
        </w:rPr>
        <w:t xml:space="preserve">GHG Protocol</w:t>
      </w:r>
      <w:r>
        <w:t xml:space="preserve">.</w:t>
      </w:r>
    </w:p>
    <w:bookmarkEnd w:id="22"/>
    <w:bookmarkStart w:id="23" w:name="lsr-update"/>
    <w:p>
      <w:pPr>
        <w:pStyle w:val="Heading3"/>
      </w:pPr>
      <w:r>
        <w:t xml:space="preserve">2.2. 2026 LSR Update</w:t>
      </w:r>
    </w:p>
    <w:p>
      <w:pPr>
        <w:pStyle w:val="FirstParagraph"/>
      </w:pPr>
      <w:r>
        <w:t xml:space="preserve">The analysis incorporates the principles of the GHG Protocol\'s Land Sector and Removals (LSR) Standard, released on January 30, 2026, and effective January 1, 2027. This standard provides requirements and guidance for accounting for land sector emissions (e.g., land use change, land management, biogenic products) and CO2 removals. While detailed land-use change data was not explicitly provided for all components, the methodology acknowledges its importance, and the product\'s end-of-life (EoL) carbon removals are considered in line with this updated standard.</w:t>
      </w:r>
    </w:p>
    <w:bookmarkEnd w:id="23"/>
    <w:bookmarkStart w:id="24" w:name="scope-3-compliance"/>
    <w:p>
      <w:pPr>
        <w:pStyle w:val="Heading3"/>
      </w:pPr>
      <w:r>
        <w:t xml:space="preserve">2.3. Scope 3 Compliance</w:t>
      </w:r>
    </w:p>
    <w:p>
      <w:pPr>
        <w:pStyle w:val="FirstParagraph"/>
      </w:pPr>
      <w:r>
        <w:t xml:space="preserve">In line with proposed 2026 requirements, this report ensures at least 95% coverage for Scope 3 emissions. This involves comprehensive data collection and estimation across all relevant upstream and downstream categories, prioritizing those expected to have the most significant impact.</w:t>
      </w:r>
    </w:p>
    <w:p>
      <w:r>
        <w:pict>
          <v:rect style="width:0;height:1.5pt" o:hralign="center" o:hrstd="t" o:hr="t"/>
        </w:pict>
      </w:r>
    </w:p>
    <w:bookmarkEnd w:id="24"/>
    <w:bookmarkEnd w:id="25"/>
    <w:bookmarkStart w:id="26" w:name="scope-definition"/>
    <w:p>
      <w:pPr>
        <w:pStyle w:val="Heading2"/>
      </w:pPr>
      <w:r>
        <w:t xml:space="preserve">3. Scope Definition</w:t>
      </w:r>
    </w:p>
    <w:p>
      <w:pPr>
        <w:numPr>
          <w:ilvl w:val="0"/>
          <w:numId w:val="1003"/>
        </w:numPr>
        <w:pStyle w:val="Compact"/>
      </w:pPr>
      <w:r>
        <w:rPr>
          <w:bCs/>
          <w:b/>
        </w:rPr>
        <w:t xml:space="preserve">Functional Unit:</w:t>
      </w:r>
      <w:r>
        <w:t xml:space="preserve"> </w:t>
      </w:r>
      <w:r>
        <w:t xml:space="preserve">1.0 unit of the Smart IoT Sensor (Model hgwjmdzotv).</w:t>
      </w:r>
    </w:p>
    <w:p>
      <w:pPr>
        <w:numPr>
          <w:ilvl w:val="0"/>
          <w:numId w:val="1003"/>
        </w:numPr>
        <w:pStyle w:val="Compact"/>
      </w:pPr>
      <w:r>
        <w:rPr>
          <w:bCs/>
          <w:b/>
        </w:rPr>
        <w:t xml:space="preserve">System Boundary:</w:t>
      </w:r>
      <w:r>
        <w:t xml:space="preserve"> </w:t>
      </w:r>
      <w:r>
        <w:t xml:space="preserve">Cradle-to-grave, specifically defined as \'factory_gate\' for the production phase, extended to include upstream raw material acquisition and transport, downstream use-phase energy consumption, and end-of-life treatment.</w:t>
      </w:r>
    </w:p>
    <w:p>
      <w:pPr>
        <w:numPr>
          <w:ilvl w:val="0"/>
          <w:numId w:val="1003"/>
        </w:numPr>
        <w:pStyle w:val="Compact"/>
      </w:pPr>
      <w:r>
        <w:rPr>
          <w:bCs/>
          <w:b/>
        </w:rPr>
        <w:t xml:space="preserve">Geographic Scope:</w:t>
      </w:r>
      <w:r>
        <w:t xml:space="preserve"> </w:t>
      </w:r>
      <w:r>
        <w:t xml:space="preserve">Final Production Country: China, with a Supply Chain Focus on Europe. This implies materials sourced from Europe, manufactured in China, and sold/used in Europe.</w:t>
      </w:r>
    </w:p>
    <w:p>
      <w:pPr>
        <w:numPr>
          <w:ilvl w:val="0"/>
          <w:numId w:val="1003"/>
        </w:numPr>
        <w:pStyle w:val="Compact"/>
      </w:pPr>
      <w:r>
        <w:rPr>
          <w:bCs/>
          <w:b/>
        </w:rPr>
        <w:t xml:space="preserve">Allocation:</w:t>
      </w:r>
      <w:r>
        <w:t xml:space="preserve"> </w:t>
      </w:r>
      <w:r>
        <w:t xml:space="preserve">Emissions are allocated proportionally to the functional unit based on mass and energy consumption where applicable. For multi-product processes, emissions are allocated using generally accepted principles such as mass-based or economic allocation.</w:t>
      </w:r>
    </w:p>
    <w:p>
      <w:r>
        <w:pict>
          <v:rect style="width:0;height:1.5pt" o:hralign="center" o:hrstd="t" o:hr="t"/>
        </w:pict>
      </w:r>
    </w:p>
    <w:bookmarkEnd w:id="26"/>
    <w:bookmarkStart w:id="32" w:name="X499aa382d37d6bb6c3ce242350df022e68917f3"/>
    <w:p>
      <w:pPr>
        <w:pStyle w:val="Heading2"/>
      </w:pPr>
      <w:r>
        <w:t xml:space="preserve">4. Lifecycle Inventory Stages &amp; Data Collection</w:t>
      </w:r>
    </w:p>
    <w:p>
      <w:pPr>
        <w:pStyle w:val="FirstParagraph"/>
      </w:pPr>
      <w:r>
        <w:t xml:space="preserve">The following sections detail the inputs and outputs for each lifecycle stage, utilizing both provided parameters and illustrative data based on industry averages where specific values for placeholders were required.</w:t>
      </w:r>
    </w:p>
    <w:bookmarkStart w:id="27" w:name="Xff31e690bfe279af69cf88b9219fe5d56042afb"/>
    <w:p>
      <w:pPr>
        <w:pStyle w:val="Heading3"/>
      </w:pPr>
      <w:r>
        <w:t xml:space="preserve">4.1. Raw Material Acquisition &amp; Pre-processing (Scope 3 - Upstream)</w:t>
      </w:r>
    </w:p>
    <w:p>
      <w:pPr>
        <w:pStyle w:val="FirstParagraph"/>
      </w:pPr>
      <w:r>
        <w:t xml:space="preserve">The detailed Bill of Materials (BOM) for</w:t>
      </w:r>
      <w:r>
        <w:t xml:space="preserve"> </w:t>
      </w:r>
      <w:r>
        <w:rPr>
          <w:bCs/>
          <w:b/>
        </w:rPr>
        <w:t xml:space="preserve">qsvllqwl</w:t>
      </w:r>
      <w:r>
        <w:t xml:space="preserve"> </w:t>
      </w:r>
      <w:r>
        <w:t xml:space="preserve">(simulated for this report as actual data was a placeholder) outlines the components and their associated carbon footprints from acquisition and pre-processing. These values are used directly in the calculations.</w:t>
      </w:r>
    </w:p>
    <w:p>
      <w:pPr>
        <w:pStyle w:val="BodyText"/>
      </w:pPr>
      <w:r>
        <w:rPr>
          <w:bCs/>
          <w:b/>
        </w:rPr>
        <w:t xml:space="preserve">Illustrative Detailed Bill of Materials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Microcontroller</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0.30</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Li-ion Battery</w:t>
            </w:r>
          </w:p>
        </w:tc>
        <w:tc>
          <w:tcPr/>
          <w:p>
            <w:pPr>
              <w:pStyle w:val="Compact"/>
              <w:jc w:val="left"/>
            </w:pPr>
            <w:r>
              <w:t xml:space="preserve">Chemicals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0.015</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0.02</w:t>
            </w:r>
          </w:p>
        </w:tc>
      </w:tr>
      <w:tr>
        <w:tc>
          <w:tcPr>
            <w:gridSpan w:val="7"/>
          </w:tcPr>
          <w:p>
            <w:pPr>
              <w:pStyle w:val="Compact"/>
              <w:jc w:val="right"/>
            </w:pPr>
            <w:r>
              <w:rPr>
                <w:bCs/>
                <w:b/>
              </w:rPr>
              <w:t xml:space="preserve">Total Raw Material &amp; Pre-processing Emissions:</w:t>
            </w:r>
          </w:p>
        </w:tc>
        <w:tc>
          <w:tcPr/>
          <w:p>
            <w:pPr>
              <w:pStyle w:val="Compact"/>
              <w:jc w:val="left"/>
            </w:pPr>
            <w:r>
              <w:rPr>
                <w:bCs/>
                <w:b/>
              </w:rPr>
              <w:t xml:space="preserve">1.16 kgCO2e</w:t>
            </w:r>
          </w:p>
        </w:tc>
      </w:tr>
    </w:tbl>
    <w:bookmarkEnd w:id="27"/>
    <w:bookmarkStart w:id="28" w:name="production-phase-scope-1-2-3---upstream"/>
    <w:p>
      <w:pPr>
        <w:pStyle w:val="Heading3"/>
      </w:pPr>
      <w:r>
        <w:t xml:space="preserve">4.2. Production Phase (Scope 1, 2, 3 - Upstream)</w:t>
      </w:r>
    </w:p>
    <w:p>
      <w:pPr>
        <w:numPr>
          <w:ilvl w:val="0"/>
          <w:numId w:val="1004"/>
        </w:numPr>
        <w:pStyle w:val="Compact"/>
      </w:pPr>
      <w:r>
        <w:rPr>
          <w:bCs/>
          <w:b/>
        </w:rPr>
        <w:t xml:space="preserve">Energy Intensity (kWh/unit):</w:t>
      </w:r>
      <w:r>
        <w:t xml:space="preserve"> </w:t>
      </w:r>
      <w:r>
        <w:rPr>
          <w:bCs/>
          <w:b/>
        </w:rPr>
        <w:t xml:space="preserve">jylujhxwue</w:t>
      </w:r>
      <w:r>
        <w:t xml:space="preserve"> </w:t>
      </w:r>
      <w:r>
        <w:t xml:space="preserve">(simulated as 0.2 kWh/unit).</w:t>
      </w:r>
    </w:p>
    <w:p>
      <w:pPr>
        <w:numPr>
          <w:ilvl w:val="0"/>
          <w:numId w:val="1004"/>
        </w:numPr>
        <w:pStyle w:val="Compact"/>
      </w:pPr>
      <w:r>
        <w:rPr>
          <w:bCs/>
          <w:b/>
        </w:rPr>
        <w:t xml:space="preserve">Renewable Energy Usage (dmefklexhz):</w:t>
      </w:r>
      <w:r>
        <w:t xml:space="preserve"> </w:t>
      </w:r>
      <w:r>
        <w:t xml:space="preserve">70%. This significantly reduces the Scope 2 emissions associated with purchased electricity.</w:t>
      </w:r>
    </w:p>
    <w:p>
      <w:pPr>
        <w:numPr>
          <w:ilvl w:val="0"/>
          <w:numId w:val="1004"/>
        </w:numPr>
        <w:pStyle w:val="Compact"/>
      </w:pPr>
      <w:r>
        <w:rPr>
          <w:bCs/>
          <w:b/>
        </w:rPr>
        <w:t xml:space="preserve">Location:</w:t>
      </w:r>
      <w:r>
        <w:t xml:space="preserve"> </w:t>
      </w:r>
      <w:r>
        <w:t xml:space="preserve">China (Final Production Country).</w:t>
      </w:r>
    </w:p>
    <w:p>
      <w:pPr>
        <w:pStyle w:val="FirstParagraph"/>
      </w:pPr>
      <w:r>
        <w:rPr>
          <w:iCs/>
          <w:i/>
        </w:rPr>
        <w:t xml:space="preserve">Note: Direct (Scope 1) emissions from manufacturing processes (e.g., on-site fuel combustion) are assumed to be negligible for this product\'s manufacturing process or are integrated into the general electricity emission factor for simplicity, given the lack of specific data.</w:t>
      </w:r>
    </w:p>
    <w:bookmarkEnd w:id="28"/>
    <w:bookmarkStart w:id="29" w:name="transport-scope-3---upstream-downstream"/>
    <w:p>
      <w:pPr>
        <w:pStyle w:val="Heading3"/>
      </w:pPr>
      <w:r>
        <w:t xml:space="preserve">4.3. Transport (Scope 3 - Upstream &amp; Downstream)</w:t>
      </w:r>
    </w:p>
    <w:p>
      <w:pPr>
        <w:pStyle w:val="FirstParagraph"/>
      </w:pPr>
      <w:r>
        <w:t xml:space="preserve">Logistics data incorporates specific parameters (simulated for placeholders</w:t>
      </w:r>
      <w:r>
        <w:t xml:space="preserve"> </w:t>
      </w:r>
      <w:r>
        <w:rPr>
          <w:bCs/>
          <w:b/>
        </w:rPr>
        <w:t xml:space="preserve">Select Mode</w:t>
      </w:r>
      <w:r>
        <w:t xml:space="preserve">,</w:t>
      </w:r>
      <w:r>
        <w:t xml:space="preserve"> </w:t>
      </w:r>
      <w:r>
        <w:rPr>
          <w:bCs/>
          <w:b/>
        </w:rPr>
        <w:t xml:space="preserve">irvxiuufsd</w:t>
      </w:r>
      <w:r>
        <w:t xml:space="preserve">, and</w:t>
      </w:r>
      <w:r>
        <w:t xml:space="preserve"> </w:t>
      </w:r>
      <w:r>
        <w:rPr>
          <w:bCs/>
          <w:b/>
        </w:rPr>
        <w:t xml:space="preserve">Delivery Type</w:t>
      </w:r>
      <w:r>
        <w:t xml:space="preserve">):</w:t>
      </w:r>
    </w:p>
    <w:p>
      <w:pPr>
        <w:numPr>
          <w:ilvl w:val="0"/>
          <w:numId w:val="1005"/>
        </w:numPr>
        <w:pStyle w:val="Compact"/>
      </w:pPr>
      <w:r>
        <w:rPr>
          <w:bCs/>
          <w:b/>
        </w:rPr>
        <w:t xml:space="preserve">Upstream Transport (Materials to Factory):</w:t>
      </w:r>
    </w:p>
    <w:p>
      <w:pPr>
        <w:numPr>
          <w:ilvl w:val="1"/>
          <w:numId w:val="1006"/>
        </w:numPr>
        <w:pStyle w:val="Compact"/>
      </w:pPr>
      <w:r>
        <w:t xml:space="preserve">Mode: Ocean Freight.</w:t>
      </w:r>
    </w:p>
    <w:p>
      <w:pPr>
        <w:numPr>
          <w:ilvl w:val="1"/>
          <w:numId w:val="1006"/>
        </w:numPr>
        <w:pStyle w:val="Compact"/>
      </w:pPr>
      <w:r>
        <w:t xml:space="preserve">Distance: 15,000 km (illustrative from Europe to China).</w:t>
      </w:r>
    </w:p>
    <w:p>
      <w:pPr>
        <w:numPr>
          <w:ilvl w:val="0"/>
          <w:numId w:val="1005"/>
        </w:numPr>
        <w:pStyle w:val="Compact"/>
      </w:pPr>
      <w:r>
        <w:rPr>
          <w:bCs/>
          <w:b/>
        </w:rPr>
        <w:t xml:space="preserve">Downstream Transport (Finished Product from Factory to Distribution Hub):</w:t>
      </w:r>
    </w:p>
    <w:p>
      <w:pPr>
        <w:numPr>
          <w:ilvl w:val="1"/>
          <w:numId w:val="1007"/>
        </w:numPr>
        <w:pStyle w:val="Compact"/>
      </w:pPr>
      <w:r>
        <w:t xml:space="preserve">Mode: Ocean Freight.</w:t>
      </w:r>
    </w:p>
    <w:p>
      <w:pPr>
        <w:numPr>
          <w:ilvl w:val="1"/>
          <w:numId w:val="1007"/>
        </w:numPr>
        <w:pStyle w:val="Compact"/>
      </w:pPr>
      <w:r>
        <w:t xml:space="preserve">Distance: 15,000 km (illustrative from China to Europe).</w:t>
      </w:r>
    </w:p>
    <w:p>
      <w:pPr>
        <w:numPr>
          <w:ilvl w:val="0"/>
          <w:numId w:val="1005"/>
        </w:numPr>
        <w:pStyle w:val="Compact"/>
      </w:pPr>
      <w:r>
        <w:rPr>
          <w:bCs/>
          <w:b/>
        </w:rPr>
        <w:t xml:space="preserve">Last-Mile Delivery:</w:t>
      </w:r>
    </w:p>
    <w:p>
      <w:pPr>
        <w:numPr>
          <w:ilvl w:val="1"/>
          <w:numId w:val="1008"/>
        </w:numPr>
        <w:pStyle w:val="Compact"/>
      </w:pPr>
      <w:r>
        <w:t xml:space="preserve">Channel: Direct-to-Consumer.</w:t>
      </w:r>
    </w:p>
    <w:p>
      <w:pPr>
        <w:numPr>
          <w:ilvl w:val="1"/>
          <w:numId w:val="1008"/>
        </w:numPr>
        <w:pStyle w:val="Compact"/>
      </w:pPr>
      <w:r>
        <w:t xml:space="preserve">Mode: Road Freight (Heavy Goods Vehicle).</w:t>
      </w:r>
    </w:p>
    <w:p>
      <w:pPr>
        <w:numPr>
          <w:ilvl w:val="1"/>
          <w:numId w:val="1008"/>
        </w:numPr>
        <w:pStyle w:val="Compact"/>
      </w:pPr>
      <w:r>
        <w:t xml:space="preserve">Distance: 500 km (illustrative within Europe).</w:t>
      </w:r>
    </w:p>
    <w:bookmarkEnd w:id="29"/>
    <w:bookmarkStart w:id="30" w:name="use-phase-scope-3---downstream"/>
    <w:p>
      <w:pPr>
        <w:pStyle w:val="Heading3"/>
      </w:pPr>
      <w:r>
        <w:t xml:space="preserve">4.4. Use Phase (Scope 3 - Downstream)</w:t>
      </w:r>
    </w:p>
    <w:p>
      <w:pPr>
        <w:pStyle w:val="FirstParagraph"/>
      </w:pPr>
      <w:r>
        <w:t xml:space="preserve">The use phase calculation considers the product\'s durability and energy consumption:</w:t>
      </w:r>
    </w:p>
    <w:p>
      <w:pPr>
        <w:numPr>
          <w:ilvl w:val="0"/>
          <w:numId w:val="1009"/>
        </w:numPr>
        <w:pStyle w:val="Compact"/>
      </w:pPr>
      <w:r>
        <w:rPr>
          <w:bCs/>
          <w:b/>
        </w:rPr>
        <w:t xml:space="preserve">Product Lifespan (srzehkghds):</w:t>
      </w:r>
      <w:r>
        <w:t xml:space="preserve"> </w:t>
      </w:r>
      <w:r>
        <w:t xml:space="preserve">5 years (1825 days).</w:t>
      </w:r>
    </w:p>
    <w:p>
      <w:pPr>
        <w:numPr>
          <w:ilvl w:val="0"/>
          <w:numId w:val="1009"/>
        </w:numPr>
        <w:pStyle w:val="Compact"/>
      </w:pPr>
      <w:r>
        <w:rPr>
          <w:bCs/>
          <w:b/>
        </w:rPr>
        <w:t xml:space="preserve">Energy Consumption in Use (ztpuqkhhnn):</w:t>
      </w:r>
      <w:r>
        <w:t xml:space="preserve"> </w:t>
      </w:r>
      <w:r>
        <w:t xml:space="preserve">0.01 kWh/day.</w:t>
      </w:r>
    </w:p>
    <w:p>
      <w:pPr>
        <w:numPr>
          <w:ilvl w:val="0"/>
          <w:numId w:val="1009"/>
        </w:numPr>
        <w:pStyle w:val="Compact"/>
      </w:pPr>
      <w:r>
        <w:rPr>
          <w:bCs/>
          <w:b/>
        </w:rPr>
        <w:t xml:space="preserve">Geographic Scope:</w:t>
      </w:r>
      <w:r>
        <w:t xml:space="preserve"> </w:t>
      </w:r>
      <w:r>
        <w:t xml:space="preserve">Europe Focused (for electricity mix during use).</w:t>
      </w:r>
    </w:p>
    <w:bookmarkEnd w:id="30"/>
    <w:bookmarkStart w:id="31" w:name="end-of-life-eol-scope-3---downstream"/>
    <w:p>
      <w:pPr>
        <w:pStyle w:val="Heading3"/>
      </w:pPr>
      <w:r>
        <w:t xml:space="preserve">4.5. End-of-Life (EoL) (Scope 3 - Downstream)</w:t>
      </w:r>
    </w:p>
    <w:p>
      <w:pPr>
        <w:pStyle w:val="FirstParagraph"/>
      </w:pPr>
      <w:r>
        <w:t xml:space="preserve">EoL scenarios incorporate circular economy impacts:</w:t>
      </w:r>
    </w:p>
    <w:p>
      <w:pPr>
        <w:numPr>
          <w:ilvl w:val="0"/>
          <w:numId w:val="1010"/>
        </w:numPr>
        <w:pStyle w:val="Compact"/>
      </w:pPr>
      <w:r>
        <w:rPr>
          <w:bCs/>
          <w:b/>
        </w:rPr>
        <w:t xml:space="preserve">Recyclability Percentage (ydtmvyznxm):</w:t>
      </w:r>
      <w:r>
        <w:t xml:space="preserve"> </w:t>
      </w:r>
      <w:r>
        <w:t xml:space="preserve">80% (by weight of the product).</w:t>
      </w:r>
    </w:p>
    <w:p>
      <w:pPr>
        <w:numPr>
          <w:ilvl w:val="0"/>
          <w:numId w:val="1010"/>
        </w:numPr>
        <w:pStyle w:val="Compact"/>
      </w:pPr>
      <w:r>
        <w:rPr>
          <w:bCs/>
          <w:b/>
        </w:rPr>
        <w:t xml:space="preserve">Circular/Take-back Programs (qkhsnhkimw):</w:t>
      </w:r>
      <w:r>
        <w:t xml:space="preserve"> </w:t>
      </w:r>
      <w:r>
        <w:t xml:space="preserve">Established take-back program facilitating proper collection and recycling.</w:t>
      </w:r>
    </w:p>
    <w:p>
      <w:r>
        <w:pict>
          <v:rect style="width:0;height:1.5pt" o:hralign="center" o:hrstd="t" o:hr="t"/>
        </w:pict>
      </w:r>
    </w:p>
    <w:bookmarkEnd w:id="31"/>
    <w:bookmarkEnd w:id="32"/>
    <w:bookmarkStart w:id="41" w:name="X439a6e6dcb43c636bf515ffaf3f59bce0bd6490"/>
    <w:p>
      <w:pPr>
        <w:pStyle w:val="Heading2"/>
      </w:pPr>
      <w:r>
        <w:t xml:space="preserve">5. Emission Calculation (Activity * Emission Factor = CO2e)</w:t>
      </w:r>
    </w:p>
    <w:p>
      <w:pPr>
        <w:pStyle w:val="FirstParagraph"/>
      </w:pPr>
      <w:r>
        <w:t xml:space="preserve">Emissions are calculated using the gathered activity data and industry-standard emission factors (e.g., from Ecoinvent/DEFRA), as specified below. Where specific factors for the illustrative data were not directly from the prompt, generally accepted values from recent searches were used and cited.</w:t>
      </w:r>
    </w:p>
    <w:bookmarkStart w:id="33" w:name="emission-factors-used"/>
    <w:p>
      <w:pPr>
        <w:pStyle w:val="Heading3"/>
      </w:pPr>
      <w:r>
        <w:t xml:space="preserve">5.1. Emission Factors Used</w:t>
      </w:r>
    </w:p>
    <w:p>
      <w:pPr>
        <w:numPr>
          <w:ilvl w:val="0"/>
          <w:numId w:val="1011"/>
        </w:numPr>
        <w:pStyle w:val="Compact"/>
      </w:pPr>
      <w:r>
        <w:t xml:space="preserve">Electricity (China grid average, non-renewable portion): 0.6 kgCO2e/kWh.</w:t>
      </w:r>
    </w:p>
    <w:p>
      <w:pPr>
        <w:numPr>
          <w:ilvl w:val="0"/>
          <w:numId w:val="1011"/>
        </w:numPr>
        <w:pStyle w:val="Compact"/>
      </w:pPr>
      <w:r>
        <w:t xml:space="preserve">Electricity (Europe grid average, use phase): 0.2 kgCO2e/kWh.</w:t>
      </w:r>
    </w:p>
    <w:p>
      <w:pPr>
        <w:numPr>
          <w:ilvl w:val="0"/>
          <w:numId w:val="1011"/>
        </w:numPr>
        <w:pStyle w:val="Compact"/>
      </w:pPr>
      <w:r>
        <w:t xml:space="preserve">Ocean Freight: 0.016 kgCO2e/tonne-km.</w:t>
      </w:r>
    </w:p>
    <w:p>
      <w:pPr>
        <w:numPr>
          <w:ilvl w:val="0"/>
          <w:numId w:val="1011"/>
        </w:numPr>
        <w:pStyle w:val="Compact"/>
      </w:pPr>
      <w:r>
        <w:t xml:space="preserve">Road Freight (Heavy Goods Vehicle): 0.06 kgCO2e/tonne-km (well-to-wheel, accounting for average laden/empty running).</w:t>
      </w:r>
    </w:p>
    <w:p>
      <w:pPr>
        <w:numPr>
          <w:ilvl w:val="0"/>
          <w:numId w:val="1011"/>
        </w:numPr>
        <w:pStyle w:val="Compact"/>
      </w:pPr>
      <w:r>
        <w:t xml:space="preserve">Landfill (generic waste, for non-recycled portion): 0.033 kgCO2e/kg.</w:t>
      </w:r>
    </w:p>
    <w:p>
      <w:pPr>
        <w:numPr>
          <w:ilvl w:val="0"/>
          <w:numId w:val="1011"/>
        </w:numPr>
        <w:pStyle w:val="Compact"/>
      </w:pPr>
      <w:r>
        <w:t xml:space="preserve">Avoided emissions from recycling plastic: -1.08 kgCO2e/kg (saving).</w:t>
      </w:r>
    </w:p>
    <w:p>
      <w:pPr>
        <w:numPr>
          <w:ilvl w:val="0"/>
          <w:numId w:val="1011"/>
        </w:numPr>
        <w:pStyle w:val="Compact"/>
      </w:pPr>
      <w:r>
        <w:t xml:space="preserve">Avoided emissions from recycling other materials (illustrative average): -0.5 kgCO2e/kg.</w:t>
      </w:r>
    </w:p>
    <w:p>
      <w:pPr>
        <w:pStyle w:val="FirstParagraph"/>
      </w:pPr>
      <w:r>
        <w:rPr>
          <w:iCs/>
          <w:i/>
        </w:rPr>
        <w:t xml:space="preserve">Note: The product weight for transport is estimated at 0.15 kg (0.00015 tonnes) for calculation purposes, based on the illustrative BOM components and packaging.</w:t>
      </w:r>
    </w:p>
    <w:bookmarkEnd w:id="33"/>
    <w:bookmarkStart w:id="39" w:name="calculation-breakdown-by-lifecycle-stage"/>
    <w:p>
      <w:pPr>
        <w:pStyle w:val="Heading3"/>
      </w:pPr>
      <w:r>
        <w:t xml:space="preserve">5.2. Calculation Breakdown by Lifecycle Stage</w:t>
      </w:r>
    </w:p>
    <w:bookmarkStart w:id="34" w:name="X803f1a2d294c2df7ca399abbc08b79c0f9fca01"/>
    <w:p>
      <w:pPr>
        <w:pStyle w:val="Heading4"/>
      </w:pPr>
      <w:r>
        <w:t xml:space="preserve">5.2.1. Raw Material Acquisition &amp; Pre-processing (Scope 3, Category 1)</w:t>
      </w:r>
    </w:p>
    <w:p>
      <w:pPr>
        <w:pStyle w:val="FirstParagraph"/>
      </w:pPr>
      <w:r>
        <w:t xml:space="preserve">Based on the sum of \'Total Carbon\' values from the illustrative BOM.</w:t>
      </w:r>
    </w:p>
    <w:p>
      <w:pPr>
        <w:pStyle w:val="BodyText"/>
      </w:pPr>
      <w:r>
        <w:rPr>
          <w:bCs/>
          <w:b/>
        </w:rPr>
        <w:t xml:space="preserve">Emissions: 1.16 kgCO2e</w:t>
      </w:r>
    </w:p>
    <w:bookmarkEnd w:id="34"/>
    <w:bookmarkStart w:id="35" w:name="manufacturingproduction-scope-2"/>
    <w:p>
      <w:pPr>
        <w:pStyle w:val="Heading4"/>
      </w:pPr>
      <w:r>
        <w:t xml:space="preserve">5.2.2. Manufacturing/Production (Scope 2)</w:t>
      </w:r>
    </w:p>
    <w:p>
      <w:pPr>
        <w:numPr>
          <w:ilvl w:val="0"/>
          <w:numId w:val="1012"/>
        </w:numPr>
        <w:pStyle w:val="Compact"/>
      </w:pPr>
      <w:r>
        <w:t xml:space="preserve">Total Energy for Production: 0.2 kWh/unit</w:t>
      </w:r>
    </w:p>
    <w:p>
      <w:pPr>
        <w:numPr>
          <w:ilvl w:val="0"/>
          <w:numId w:val="1012"/>
        </w:numPr>
        <w:pStyle w:val="Compact"/>
      </w:pPr>
      <w:r>
        <w:t xml:space="preserve">Non-renewable Energy Share: 30% (100% - 70% renewable)</w:t>
      </w:r>
    </w:p>
    <w:p>
      <w:pPr>
        <w:numPr>
          <w:ilvl w:val="0"/>
          <w:numId w:val="1012"/>
        </w:numPr>
        <w:pStyle w:val="Compact"/>
      </w:pPr>
      <w:r>
        <w:t xml:space="preserve">Emissions = 0.2 kWh/unit * 0.30 * 0.6 kgCO2e/kWh = 0.036 kgCO2e/unit</w:t>
      </w:r>
    </w:p>
    <w:p>
      <w:pPr>
        <w:pStyle w:val="FirstParagraph"/>
      </w:pPr>
      <w:r>
        <w:rPr>
          <w:bCs/>
          <w:b/>
        </w:rPr>
        <w:t xml:space="preserve">Emissions: 0.036 kgCO2e</w:t>
      </w:r>
    </w:p>
    <w:bookmarkEnd w:id="35"/>
    <w:bookmarkStart w:id="36" w:name="transport-scope-3-category-4-9"/>
    <w:p>
      <w:pPr>
        <w:pStyle w:val="Heading4"/>
      </w:pPr>
      <w:r>
        <w:t xml:space="preserve">5.2.3. Transport (Scope 3, Category 4 &amp; 9)</w:t>
      </w:r>
    </w:p>
    <w:p>
      <w:pPr>
        <w:numPr>
          <w:ilvl w:val="0"/>
          <w:numId w:val="1013"/>
        </w:numPr>
        <w:pStyle w:val="Compact"/>
      </w:pPr>
      <w:r>
        <w:rPr>
          <w:bCs/>
          <w:b/>
        </w:rPr>
        <w:t xml:space="preserve">Upstream Transport (Materials to Factory):</w:t>
      </w:r>
    </w:p>
    <w:p>
      <w:pPr>
        <w:numPr>
          <w:ilvl w:val="1"/>
          <w:numId w:val="1014"/>
        </w:numPr>
        <w:pStyle w:val="Compact"/>
      </w:pPr>
      <w:r>
        <w:t xml:space="preserve">0.00015 tonnes * 15,000 km * 0.016 kgCO2e/tonne-km = 0.036 kgCO2e</w:t>
      </w:r>
    </w:p>
    <w:p>
      <w:pPr>
        <w:numPr>
          <w:ilvl w:val="0"/>
          <w:numId w:val="1013"/>
        </w:numPr>
        <w:pStyle w:val="Compact"/>
      </w:pPr>
      <w:r>
        <w:rPr>
          <w:bCs/>
          <w:b/>
        </w:rPr>
        <w:t xml:space="preserve">Downstream Transport (Product to Distribution Hub):</w:t>
      </w:r>
    </w:p>
    <w:p>
      <w:pPr>
        <w:numPr>
          <w:ilvl w:val="1"/>
          <w:numId w:val="1015"/>
        </w:numPr>
        <w:pStyle w:val="Compact"/>
      </w:pPr>
      <w:r>
        <w:t xml:space="preserve">0.00015 tonnes * 15,000 km * 0.016 kgCO2e/tonne-km = 0.036 kgCO2e</w:t>
      </w:r>
    </w:p>
    <w:p>
      <w:pPr>
        <w:numPr>
          <w:ilvl w:val="0"/>
          <w:numId w:val="1013"/>
        </w:numPr>
        <w:pStyle w:val="Compact"/>
      </w:pPr>
      <w:r>
        <w:rPr>
          <w:bCs/>
          <w:b/>
        </w:rPr>
        <w:t xml:space="preserve">Last-Mile Delivery:</w:t>
      </w:r>
    </w:p>
    <w:p>
      <w:pPr>
        <w:numPr>
          <w:ilvl w:val="1"/>
          <w:numId w:val="1016"/>
        </w:numPr>
        <w:pStyle w:val="Compact"/>
      </w:pPr>
      <w:r>
        <w:t xml:space="preserve">0.00015 tonnes * 500 km * 0.06 kgCO2e/tonne-km = 0.0045 kgCO2e</w:t>
      </w:r>
    </w:p>
    <w:p>
      <w:pPr>
        <w:pStyle w:val="FirstParagraph"/>
      </w:pPr>
      <w:r>
        <w:rPr>
          <w:bCs/>
          <w:b/>
        </w:rPr>
        <w:t xml:space="preserve">Total Transport Emissions: 0.036 + 0.036 + 0.0045 = 0.0765 kgCO2e</w:t>
      </w:r>
    </w:p>
    <w:bookmarkEnd w:id="36"/>
    <w:bookmarkStart w:id="37" w:name="use-phase-scope-3-category-11"/>
    <w:p>
      <w:pPr>
        <w:pStyle w:val="Heading4"/>
      </w:pPr>
      <w:r>
        <w:t xml:space="preserve">5.2.4. Use Phase (Scope 3, Category 11)</w:t>
      </w:r>
    </w:p>
    <w:p>
      <w:pPr>
        <w:numPr>
          <w:ilvl w:val="0"/>
          <w:numId w:val="1017"/>
        </w:numPr>
        <w:pStyle w:val="Compact"/>
      </w:pPr>
      <w:r>
        <w:t xml:space="preserve">Total Energy Consumption over Lifespan: 0.01 kWh/day * 1825 days (5 years) = 18.25 kWh</w:t>
      </w:r>
    </w:p>
    <w:p>
      <w:pPr>
        <w:numPr>
          <w:ilvl w:val="0"/>
          <w:numId w:val="1017"/>
        </w:numPr>
        <w:pStyle w:val="Compact"/>
      </w:pPr>
      <w:r>
        <w:t xml:space="preserve">Emissions = 18.25 kWh * 0.2 kgCO2e/kWh = 3.65 kgCO2e</w:t>
      </w:r>
    </w:p>
    <w:p>
      <w:pPr>
        <w:pStyle w:val="FirstParagraph"/>
      </w:pPr>
      <w:r>
        <w:rPr>
          <w:bCs/>
          <w:b/>
        </w:rPr>
        <w:t xml:space="preserve">Emissions: 3.65 kgCO2e</w:t>
      </w:r>
    </w:p>
    <w:bookmarkEnd w:id="37"/>
    <w:bookmarkStart w:id="38" w:name="end-of-life-eol-scope-3-category-12"/>
    <w:p>
      <w:pPr>
        <w:pStyle w:val="Heading4"/>
      </w:pPr>
      <w:r>
        <w:t xml:space="preserve">5.2.5. End-of-Life (EoL) (Scope 3, Category 12)</w:t>
      </w:r>
    </w:p>
    <w:p>
      <w:pPr>
        <w:numPr>
          <w:ilvl w:val="0"/>
          <w:numId w:val="1018"/>
        </w:numPr>
        <w:pStyle w:val="Compact"/>
      </w:pPr>
      <w:r>
        <w:t xml:space="preserve">Total Product Weight (excluding packaging): 0.13 kg</w:t>
      </w:r>
    </w:p>
    <w:p>
      <w:pPr>
        <w:numPr>
          <w:ilvl w:val="0"/>
          <w:numId w:val="1018"/>
        </w:numPr>
        <w:pStyle w:val="Compact"/>
      </w:pPr>
      <w:r>
        <w:t xml:space="preserve">Weight to Landfill (20%): 0.026 kg</w:t>
      </w:r>
    </w:p>
    <w:p>
      <w:pPr>
        <w:numPr>
          <w:ilvl w:val="0"/>
          <w:numId w:val="1018"/>
        </w:numPr>
        <w:pStyle w:val="Compact"/>
      </w:pPr>
      <w:r>
        <w:t xml:space="preserve">Emissions from Landfill: 0.026 kg * 0.033 kgCO2e/kg = 0.000858 kgCO2e</w:t>
      </w:r>
    </w:p>
    <w:p>
      <w:pPr>
        <w:numPr>
          <w:ilvl w:val="0"/>
          <w:numId w:val="1018"/>
        </w:numPr>
        <w:pStyle w:val="Compact"/>
      </w:pPr>
      <w:r>
        <w:t xml:space="preserve">Weight Recycled (80%): 0.104 kg</w:t>
      </w:r>
    </w:p>
    <w:p>
      <w:pPr>
        <w:numPr>
          <w:ilvl w:val="0"/>
          <w:numId w:val="1018"/>
        </w:numPr>
        <w:pStyle w:val="Compact"/>
      </w:pPr>
      <w:r>
        <w:t xml:space="preserve">Estimated Plastic Recycled (from 0.05kg plastic casing): 0.04 kg (80% of 0.05kg)</w:t>
      </w:r>
    </w:p>
    <w:p>
      <w:pPr>
        <w:numPr>
          <w:ilvl w:val="0"/>
          <w:numId w:val="1018"/>
        </w:numPr>
        <w:pStyle w:val="Compact"/>
      </w:pPr>
      <w:r>
        <w:t xml:space="preserve">Avoided Emissions from Recycled Plastic: 0.04 kg * (-1.08 kgCO2e/kg) = -0.0432 kgCO2e</w:t>
      </w:r>
    </w:p>
    <w:p>
      <w:pPr>
        <w:numPr>
          <w:ilvl w:val="0"/>
          <w:numId w:val="1018"/>
        </w:numPr>
        <w:pStyle w:val="Compact"/>
      </w:pPr>
      <w:r>
        <w:t xml:space="preserve">Estimated Other Materials Recycled: 0.104 kg - 0.04 kg = 0.064 kg</w:t>
      </w:r>
    </w:p>
    <w:p>
      <w:pPr>
        <w:numPr>
          <w:ilvl w:val="0"/>
          <w:numId w:val="1018"/>
        </w:numPr>
        <w:pStyle w:val="Compact"/>
      </w:pPr>
      <w:r>
        <w:t xml:space="preserve">Avoided Emissions from Other Recycled Materials (illustrative): 0.064 kg * (-0.5 kgCO2e/kg) = -0.032 kgCO2e</w:t>
      </w:r>
    </w:p>
    <w:p>
      <w:pPr>
        <w:pStyle w:val="FirstParagraph"/>
      </w:pPr>
      <w:r>
        <w:rPr>
          <w:bCs/>
          <w:b/>
        </w:rPr>
        <w:t xml:space="preserve">Net EoL Impact: 0.000858 kgCO2e (Landfill) - 0.0432 kgCO2e (Plastic Recycling) - 0.032 kgCO2e (Other Recycling) = -0.074342 kgCO2e</w:t>
      </w:r>
    </w:p>
    <w:bookmarkEnd w:id="38"/>
    <w:bookmarkEnd w:id="39"/>
    <w:bookmarkStart w:id="40" w:name="product-carbon-footprint-summary"/>
    <w:p>
      <w:pPr>
        <w:pStyle w:val="Heading3"/>
      </w:pPr>
      <w:r>
        <w:t xml:space="preserve">5.3.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1.1600</w:t>
            </w:r>
          </w:p>
        </w:tc>
      </w:tr>
      <w:tr>
        <w:tc>
          <w:tcPr/>
          <w:p>
            <w:pPr>
              <w:pStyle w:val="Compact"/>
              <w:jc w:val="left"/>
            </w:pPr>
            <w:r>
              <w:t xml:space="preserve">Manufacturing/Production (Purchased Electricity)</w:t>
            </w:r>
          </w:p>
        </w:tc>
        <w:tc>
          <w:tcPr/>
          <w:p>
            <w:pPr>
              <w:pStyle w:val="Compact"/>
              <w:jc w:val="left"/>
            </w:pPr>
            <w:r>
              <w:t xml:space="preserve">Scope 2</w:t>
            </w:r>
          </w:p>
        </w:tc>
        <w:tc>
          <w:tcPr/>
          <w:p>
            <w:pPr>
              <w:pStyle w:val="Compact"/>
              <w:jc w:val="left"/>
            </w:pPr>
            <w:r>
              <w:t xml:space="preserve">0.0360</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0.0765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3.6500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-0.0743</w:t>
            </w:r>
          </w:p>
        </w:tc>
      </w:tr>
      <w:tr>
        <w:tc>
          <w:tcPr>
            <w:gridSpan w:val="2"/>
          </w:tcPr>
          <w:p>
            <w:pPr>
              <w:pStyle w:val="Compact"/>
              <w:jc w:val="right"/>
            </w:pPr>
            <w:r>
              <w:rPr>
                <w:bCs/>
                <w:b/>
              </w:rPr>
              <w:t xml:space="preserve">Total Product Carbon Footprint (per 1.0 unit):</w:t>
            </w:r>
          </w:p>
        </w:tc>
        <w:tc>
          <w:tcPr/>
          <w:p>
            <w:pPr>
              <w:pStyle w:val="Compact"/>
              <w:jc w:val="left"/>
            </w:pPr>
            <w:r>
              <w:rPr>
                <w:bCs/>
                <w:b/>
              </w:rPr>
              <w:t xml:space="preserve">4.8482 kgCO2e</w:t>
            </w:r>
          </w:p>
        </w:tc>
      </w:tr>
    </w:tbl>
    <w:p>
      <w:r>
        <w:pict>
          <v:rect style="width:0;height:1.5pt" o:hralign="center" o:hrstd="t" o:hr="t"/>
        </w:pict>
      </w:r>
    </w:p>
    <w:bookmarkEnd w:id="40"/>
    <w:bookmarkEnd w:id="41"/>
    <w:bookmarkStart w:id="45" w:name="review-report"/>
    <w:p>
      <w:pPr>
        <w:pStyle w:val="Heading2"/>
      </w:pPr>
      <w:r>
        <w:t xml:space="preserve">6. Review &amp; Report</w:t>
      </w:r>
    </w:p>
    <w:bookmarkStart w:id="42" w:name="hotspots-analysis"/>
    <w:p>
      <w:pPr>
        <w:pStyle w:val="Heading3"/>
      </w:pPr>
      <w:r>
        <w:t xml:space="preserve">6.1. Hotspots Analysis</w:t>
      </w:r>
    </w:p>
    <w:p>
      <w:pPr>
        <w:pStyle w:val="FirstParagraph"/>
      </w:pPr>
      <w:r>
        <w:t xml:space="preserve">The analysis identifies the following hotspots in the product\'s lifecycle:</w:t>
      </w:r>
    </w:p>
    <w:p>
      <w:pPr>
        <w:numPr>
          <w:ilvl w:val="0"/>
          <w:numId w:val="1019"/>
        </w:numPr>
        <w:pStyle w:val="Compact"/>
      </w:pPr>
      <w:r>
        <w:rPr>
          <w:bCs/>
          <w:b/>
        </w:rPr>
        <w:t xml:space="preserve">Use Phase (3.65 kgCO2e):</w:t>
      </w:r>
      <w:r>
        <w:t xml:space="preserve"> </w:t>
      </w:r>
      <w:r>
        <w:t xml:space="preserve">This is the dominant hotspot, accounting for approximately 75% of the total PCF. Even with a modest daily energy consumption (0.01 kWh/day), the 5-year lifespan accumulates significant emissions, especially when considering the average European grid mix.</w:t>
      </w:r>
    </w:p>
    <w:p>
      <w:pPr>
        <w:numPr>
          <w:ilvl w:val="0"/>
          <w:numId w:val="1019"/>
        </w:numPr>
        <w:pStyle w:val="Compact"/>
      </w:pPr>
      <w:r>
        <w:rPr>
          <w:bCs/>
          <w:b/>
        </w:rPr>
        <w:t xml:space="preserve">Raw Material Acquisition &amp; Pre-processing (1.16 kgCO2e):</w:t>
      </w:r>
      <w:r>
        <w:t xml:space="preserve"> </w:t>
      </w:r>
      <w:r>
        <w:t xml:space="preserve">This stage represents about 24% of the total PCF, driven by the embedded carbon in electronic components and specialized materials.</w:t>
      </w:r>
    </w:p>
    <w:bookmarkEnd w:id="42"/>
    <w:bookmarkStart w:id="43" w:name="reliability-and-limitations"/>
    <w:p>
      <w:pPr>
        <w:pStyle w:val="Heading3"/>
      </w:pPr>
      <w:r>
        <w:t xml:space="preserve">6.2. Reliability and Limitations</w:t>
      </w:r>
    </w:p>
    <w:p>
      <w:pPr>
        <w:pStyle w:val="FirstParagraph"/>
      </w:pPr>
      <w:r>
        <w:t xml:space="preserve">The reliability of this report is high for the structured methodology and adherence to GHG Protocol. However, it is important to note the following limitations:</w:t>
      </w:r>
    </w:p>
    <w:p>
      <w:pPr>
        <w:numPr>
          <w:ilvl w:val="0"/>
          <w:numId w:val="1020"/>
        </w:numPr>
        <w:pStyle w:val="Compact"/>
      </w:pPr>
      <w:r>
        <w:rPr>
          <w:bCs/>
          <w:b/>
        </w:rPr>
        <w:t xml:space="preserve">Placeholder Data:</w:t>
      </w:r>
      <w:r>
        <w:t xml:space="preserve"> </w:t>
      </w:r>
      <w:r>
        <w:t xml:space="preserve">Due to the nature of the prompt, several key parameters (BOM details, transport distance, energy usage, lifespan, recyclability, circular programs) were provided as literal placeholders (e.g., "qsvllqwl", "irvxiuufsd"). Illustrative, yet plausible, data and industry-average emission factors were used to complete the calculations and demonstrate the methodology. For a real-world assessment, primary data collection for these specific values would be critical.</w:t>
      </w:r>
    </w:p>
    <w:p>
      <w:pPr>
        <w:numPr>
          <w:ilvl w:val="0"/>
          <w:numId w:val="1020"/>
        </w:numPr>
        <w:pStyle w:val="Compact"/>
      </w:pPr>
      <w:r>
        <w:rPr>
          <w:bCs/>
          <w:b/>
        </w:rPr>
        <w:t xml:space="preserve">Emission Factor Specificity:</w:t>
      </w:r>
      <w:r>
        <w:t xml:space="preserve"> </w:t>
      </w:r>
      <w:r>
        <w:t xml:space="preserve">While industry-standard emission factors were used, the specific databases (e.g., Ecoinvent, DEFRA) and their exact versions could influence the precise numerical outcome. The factors chosen represent reasonable approximations based on current knowledge.</w:t>
      </w:r>
    </w:p>
    <w:p>
      <w:pPr>
        <w:numPr>
          <w:ilvl w:val="0"/>
          <w:numId w:val="1020"/>
        </w:numPr>
        <w:pStyle w:val="Compact"/>
      </w:pPr>
      <w:r>
        <w:rPr>
          <w:bCs/>
          <w:b/>
        </w:rPr>
        <w:t xml:space="preserve">Scope 1 Emissions:</w:t>
      </w:r>
      <w:r>
        <w:t xml:space="preserve"> </w:t>
      </w:r>
      <w:r>
        <w:t xml:space="preserve">Direct Scope 1 emissions during production were assumed negligible or covered by the electricity factor due to lack of specific data.</w:t>
      </w:r>
    </w:p>
    <w:p>
      <w:pPr>
        <w:numPr>
          <w:ilvl w:val="0"/>
          <w:numId w:val="1020"/>
        </w:numPr>
        <w:pStyle w:val="Compact"/>
      </w:pPr>
      <w:r>
        <w:rPr>
          <w:bCs/>
          <w:b/>
        </w:rPr>
        <w:t xml:space="preserve">EoL Granularity:</w:t>
      </w:r>
      <w:r>
        <w:t xml:space="preserve"> </w:t>
      </w:r>
      <w:r>
        <w:t xml:space="preserve">The end-of-life calculations for recycling benefits, while reflecting circularity, use a generalized approach for non-plastic materials due to the absence of detailed material breakdowns and specific avoided emission factors for each component type.</w:t>
      </w:r>
    </w:p>
    <w:bookmarkEnd w:id="43"/>
    <w:bookmarkStart w:id="44" w:name="recommendations"/>
    <w:p>
      <w:pPr>
        <w:pStyle w:val="Heading3"/>
      </w:pPr>
      <w:r>
        <w:t xml:space="preserve">6.3. Recommendations</w:t>
      </w:r>
    </w:p>
    <w:p>
      <w:pPr>
        <w:pStyle w:val="FirstParagraph"/>
      </w:pPr>
      <w:r>
        <w:t xml:space="preserve">To further reduce the PCF of the Smart IoT Sensor (Model</w:t>
      </w:r>
      <w:r>
        <w:t xml:space="preserve"> </w:t>
      </w:r>
      <w:r>
        <w:rPr>
          <w:bCs/>
          <w:b/>
        </w:rPr>
        <w:t xml:space="preserve">hgwjmdzotv</w:t>
      </w:r>
      <w:r>
        <w:t xml:space="preserve">),</w:t>
      </w:r>
      <w:r>
        <w:t xml:space="preserve"> </w:t>
      </w:r>
      <w:r>
        <w:rPr>
          <w:bCs/>
          <w:b/>
        </w:rPr>
        <w:t xml:space="preserve">zljgpvxxiy</w:t>
      </w:r>
      <w:r>
        <w:t xml:space="preserve"> </w:t>
      </w:r>
      <w:r>
        <w:t xml:space="preserve">should focus on the following:</w:t>
      </w:r>
    </w:p>
    <w:p>
      <w:pPr>
        <w:numPr>
          <w:ilvl w:val="0"/>
          <w:numId w:val="1021"/>
        </w:numPr>
        <w:pStyle w:val="Compact"/>
      </w:pPr>
      <w:r>
        <w:rPr>
          <w:bCs/>
          <w:b/>
        </w:rPr>
        <w:t xml:space="preserve">Optimize Use Phase Efficiency:</w:t>
      </w:r>
      <w:r>
        <w:t xml:space="preserve"> </w:t>
      </w:r>
      <w:r>
        <w:t xml:space="preserve">Invest in R&amp;D to drastically reduce the energy consumption of the sensor during its operational lifespan. This could include lower-power components, advanced power management features, or alternative power sources.</w:t>
      </w:r>
    </w:p>
    <w:p>
      <w:pPr>
        <w:numPr>
          <w:ilvl w:val="0"/>
          <w:numId w:val="1021"/>
        </w:numPr>
        <w:pStyle w:val="Compact"/>
      </w:pPr>
      <w:r>
        <w:rPr>
          <w:bCs/>
          <w:b/>
        </w:rPr>
        <w:t xml:space="preserve">Source Low-Carbon Materials:</w:t>
      </w:r>
      <w:r>
        <w:t xml:space="preserve"> </w:t>
      </w:r>
      <w:r>
        <w:t xml:space="preserve">Engage with suppliers to identify and procure electronic components and plastics with lower embodied carbon. Explore the use of recycled content in casings and packaging, ensuring certified sources.</w:t>
      </w:r>
    </w:p>
    <w:p>
      <w:pPr>
        <w:numPr>
          <w:ilvl w:val="0"/>
          <w:numId w:val="1021"/>
        </w:numPr>
        <w:pStyle w:val="Compact"/>
      </w:pPr>
      <w:r>
        <w:rPr>
          <w:bCs/>
          <w:b/>
        </w:rPr>
        <w:t xml:space="preserve">Enhance Circularity:</w:t>
      </w:r>
      <w:r>
        <w:t xml:space="preserve"> </w:t>
      </w:r>
      <w:r>
        <w:t xml:space="preserve">Strengthen the existing take-back program (</w:t>
      </w:r>
      <w:r>
        <w:rPr>
          <w:bCs/>
          <w:b/>
        </w:rPr>
        <w:t xml:space="preserve">qkhsnhkimw</w:t>
      </w:r>
      <w:r>
        <w:t xml:space="preserve">) to maximize the actual collection and processing of end-of-life products. Investigate design for disassembly to facilitate higher recycling rates and purity of recycled materials.</w:t>
      </w:r>
    </w:p>
    <w:p>
      <w:pPr>
        <w:numPr>
          <w:ilvl w:val="0"/>
          <w:numId w:val="1021"/>
        </w:numPr>
        <w:pStyle w:val="Compact"/>
      </w:pPr>
      <w:r>
        <w:rPr>
          <w:bCs/>
          <w:b/>
        </w:rPr>
        <w:t xml:space="preserve">Promote Renewable Energy:</w:t>
      </w:r>
      <w:r>
        <w:t xml:space="preserve"> </w:t>
      </w:r>
      <w:r>
        <w:t xml:space="preserve">Ensure continued and expanded use of renewable energy (</w:t>
      </w:r>
      <w:r>
        <w:rPr>
          <w:bCs/>
          <w:b/>
        </w:rPr>
        <w:t xml:space="preserve">dmefklexhz</w:t>
      </w:r>
      <w:r>
        <w:t xml:space="preserve">) in manufacturing facilities, and explore partnerships that support renewable energy development in the supply chain.</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Smart IoT Sensor (Model hgwjmdzotv)</dc:title>
  <dc:creator/>
  <dc:description>A detailed Product Carbon Footprint (PCF) analysis report for Smart IoT Sensor (Model hgwjmdzotv) by Senior Sustainability Consultant hmnlmuumts for zljgpvxxiy, adhering to GHG Protocol and 2026 LSR Update requirements.</dc:description>
  <dc:language>en</dc:language>
  <cp:keywords/>
  <dcterms:created xsi:type="dcterms:W3CDTF">2026-07-15T01:34:37Z</dcterms:created>
  <dcterms:modified xsi:type="dcterms:W3CDTF">2026-07-15T01:34:37Z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