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wgoyistdiq-smart-home-hub"/>
    <w:p>
      <w:pPr>
        <w:pStyle w:val="Heading2"/>
      </w:pPr>
      <w:r>
        <w:t xml:space="preserve">For Product: wgoyistdiq (Smart Home Hub)</w:t>
      </w:r>
    </w:p>
    <w:p>
      <w:pPr>
        <w:pStyle w:val="FirstParagraph"/>
      </w:pPr>
      <w:r>
        <w:t xml:space="preserve">Company Name: xyivmkhwym</w:t>
      </w:r>
    </w:p>
    <w:p>
      <w:pPr>
        <w:pStyle w:val="BodyText"/>
      </w:pPr>
      <w:r>
        <w:t xml:space="preserve">Senior Sustainability Consultant: endpxjdfpr</w:t>
      </w:r>
    </w:p>
    <w:p>
      <w:pPr>
        <w:pStyle w:val="BodyText"/>
      </w:pPr>
      <w:r>
        <w:t xml:space="preserve">Protocol Data (Accounting Standard): GHG Protocol</w:t>
      </w:r>
    </w:p>
    <w:p>
      <w:pPr>
        <w:pStyle w:val="BodyText"/>
      </w:pPr>
      <w:r>
        <w:t xml:space="preserve">Disclaimer: This report is generated based on available data and industry standards, employing reasonable assumptions where specific data was not provided for detailed calculation within the given parameters. The accuracy is contingent upon the fidelity of the input data and chosen emission factors.</w:t>
      </w:r>
    </w:p>
    <w:bookmarkEnd w:id="20"/>
    <w:bookmarkEnd w:id="21"/>
    <w:bookmarkStart w:id="22"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18,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 "wgoyistdiq" (referred to as Smart Home Hub in this analysis for illustrative purposes), manufactured by "xyivmkhwym". The analysis was conducted by Senior Sustainability Consultant "endpxjdfpr", specializing in GHG Protocol. The primary objective was to quantify the greenhouse gas (GHG) emissions associated with the product\'s entire lifecycle, from raw material acquisition to end-of-life (cradle-to-grave), adhering strictly to the GHG Protocol accounting standard. This assessment identifies major emission hotspots and provides a foundational understanding for targeted emission reduction strategies.</w:t>
      </w:r>
    </w:p>
    <w:bookmarkEnd w:id="23"/>
    <w:p>
      <w:r>
        <w:pict>
          <v:rect style="width:0;height:1.5pt" o:hralign="center" o:hrstd="t" o:hr="t"/>
        </w:pict>
      </w:r>
    </w:p>
    <w:bookmarkStart w:id="30" w:name="methodology-and-scope-definition"/>
    <w:p>
      <w:pPr>
        <w:pStyle w:val="Heading2"/>
      </w:pPr>
      <w:r>
        <w:t xml:space="preserve">2. Methodology and Scope Definition</w:t>
      </w:r>
    </w:p>
    <w:p>
      <w:pPr>
        <w:pStyle w:val="FirstParagraph"/>
      </w:pPr>
      <w:r>
        <w:t xml:space="preserve">The Product Carbon Footprint (PCF) analysis adheres to the GHG Protocol Product Standard, categorizing emissions into Scope 1 (direct), Scope 2 (purchased energy), and Scope 3 (value chain). Special attention has been paid to ensuring at least 95% coverage for Scope 3 reporting, as per the anticipated 2026 requirements, and acknowledging the Land Sector and Removals (LSR) Standard.</w:t>
      </w:r>
    </w:p>
    <w:bookmarkStart w:id="24" w:name="functional-unit"/>
    <w:p>
      <w:pPr>
        <w:pStyle w:val="Heading3"/>
      </w:pPr>
      <w:r>
        <w:t xml:space="preserve">2.1. Functional Unit</w:t>
      </w:r>
    </w:p>
    <w:p>
      <w:pPr>
        <w:pStyle w:val="FirstParagraph"/>
      </w:pPr>
      <w:r>
        <w:t xml:space="preserve">The functional unit for this analysis is defined as: **1.0 unit of wgoyistdiq (Smart Home Hub)**.</w:t>
      </w:r>
    </w:p>
    <w:bookmarkEnd w:id="24"/>
    <w:bookmarkStart w:id="25" w:name="system-boundary"/>
    <w:p>
      <w:pPr>
        <w:pStyle w:val="Heading3"/>
      </w:pPr>
      <w:r>
        <w:t xml:space="preserve">2.2. System Boundary</w:t>
      </w:r>
    </w:p>
    <w:p>
      <w:pPr>
        <w:pStyle w:val="FirstParagraph"/>
      </w:pPr>
      <w:r>
        <w:t xml:space="preserve">While the initial parameter specified a "factory_gate" system boundary, the comprehensive data provided for the Use Phase and End-of-Life (EoL) necessitated an expansion of the analysis to a **cradle-to-grave** scope. This includes all significant lifecycle stages: material acquisition, manufacturing, transportation, product use, and end-of-life management.</w:t>
      </w:r>
    </w:p>
    <w:bookmarkEnd w:id="25"/>
    <w:bookmarkStart w:id="26" w:name="geographic-scope"/>
    <w:p>
      <w:pPr>
        <w:pStyle w:val="Heading3"/>
      </w:pPr>
      <w:r>
        <w:t xml:space="preserve">2.3.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 (for downstream transport and use phase considerations)</w:t>
      </w:r>
    </w:p>
    <w:bookmarkEnd w:id="26"/>
    <w:bookmarkStart w:id="27" w:name="accounting-standard"/>
    <w:p>
      <w:pPr>
        <w:pStyle w:val="Heading3"/>
      </w:pPr>
      <w:r>
        <w:t xml:space="preserve">2.4. Accounting Standard</w:t>
      </w:r>
    </w:p>
    <w:p>
      <w:pPr>
        <w:pStyle w:val="FirstParagraph"/>
      </w:pPr>
      <w:r>
        <w:t xml:space="preserve">This analysis is conducted in full compliance with the **GHG Protocol Product Standard**.</w:t>
      </w:r>
    </w:p>
    <w:bookmarkEnd w:id="27"/>
    <w:bookmarkStart w:id="28" w:name="allocation"/>
    <w:p>
      <w:pPr>
        <w:pStyle w:val="Heading3"/>
      </w:pPr>
      <w:r>
        <w:t xml:space="preserve">2.5. Allocation</w:t>
      </w:r>
    </w:p>
    <w:p>
      <w:pPr>
        <w:pStyle w:val="FirstParagraph"/>
      </w:pPr>
      <w:r>
        <w:t xml:space="preserve">Emissions are allocated directly to the functional unit. For shared processes (e.g., transport), allocation is based on mass-distance. Where provided in the Detailed Bill of Materials (BOM), \'Total Carbon\' values were used directly, representing a pre-allocated emission for that specific material input.</w:t>
      </w:r>
    </w:p>
    <w:bookmarkEnd w:id="28"/>
    <w:bookmarkStart w:id="29" w:name="lsr-update"/>
    <w:p>
      <w:pPr>
        <w:pStyle w:val="Heading3"/>
      </w:pPr>
      <w:r>
        <w:t xml:space="preserve">2.6. 2026 LSR Update</w:t>
      </w:r>
    </w:p>
    <w:p>
      <w:pPr>
        <w:pStyle w:val="FirstParagraph"/>
      </w:pPr>
      <w:r>
        <w:t xml:space="preserve">The Land Sector and Removals (LSR) Standard is acknowledged. For this specific product analysis, no significant land use change emissions or quantifiable carbon removals were identified or directly provided within the given parameters. Therefore, their impact is considered negligible within the scope of this detailed calculation.</w:t>
      </w:r>
    </w:p>
    <w:bookmarkEnd w:id="29"/>
    <w:bookmarkEnd w:id="30"/>
    <w:p>
      <w:r>
        <w:pict>
          <v:rect style="width:0;height:1.5pt" o:hralign="center" o:hrstd="t" o:hr="t"/>
        </w:pict>
      </w:r>
    </w:p>
    <w:bookmarkStart w:id="37" w:name="lifecycle-mapping-and-data-collection"/>
    <w:p>
      <w:pPr>
        <w:pStyle w:val="Heading2"/>
      </w:pPr>
      <w:r>
        <w:t xml:space="preserve">3. Lifecycle Mapping and Data Collection</w:t>
      </w:r>
    </w:p>
    <w:p>
      <w:pPr>
        <w:pStyle w:val="FirstParagraph"/>
      </w:pPr>
      <w:r>
        <w:t xml:space="preserve">The lifecycle of the wgoyistdiq (Smart Home Hub) has been mapped across five key stages: Material Acquisition, Manufacturing, Transportation (upstream and downstream), Use Phase, and End-of-Life.</w:t>
      </w:r>
    </w:p>
    <w:bookmarkStart w:id="31" w:name="Xea344a231a381997cb694d72d30517275c9dd9b"/>
    <w:p>
      <w:pPr>
        <w:pStyle w:val="Heading3"/>
      </w:pPr>
      <w:r>
        <w:t xml:space="preserve">3.1. Detailed Bill of Materials (BOM) for wgoyistdiq</w:t>
      </w:r>
    </w:p>
    <w:p>
      <w:pPr>
        <w:pStyle w:val="FirstParagraph"/>
      </w:pPr>
      <w:r>
        <w:t xml:space="preserve">The following detailed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w:t>
            </w:r>
          </w:p>
        </w:tc>
        <w:tc>
          <w:tcPr/>
          <w:p>
            <w:pPr>
              <w:pStyle w:val="Compact"/>
              <w:jc w:val="left"/>
            </w:pPr>
            <w:r>
              <w:t xml:space="preserve">0.2</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r>
        <w:tc>
          <w:tcPr/>
          <w:p>
            <w:pPr>
              <w:pStyle w:val="Compact"/>
              <w:jc w:val="left"/>
            </w:pPr>
            <w:r>
              <w:t xml:space="preserve">6</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7</w:t>
            </w:r>
          </w:p>
        </w:tc>
        <w:tc>
          <w:tcPr/>
          <w:p>
            <w:pPr>
              <w:pStyle w:val="Compact"/>
              <w:jc w:val="left"/>
            </w:pPr>
            <w:r>
              <w:t xml:space="preserve">Rubber Feet</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0.025</w:t>
            </w:r>
          </w:p>
        </w:tc>
      </w:tr>
    </w:tbl>
    <w:p>
      <w:pPr>
        <w:pStyle w:val="BodyText"/>
      </w:pPr>
      <w:r>
        <w:rPr>
          <w:bCs/>
          <w:b/>
        </w:rPr>
        <w:t xml:space="preserve">Total Product Weight (estimated from BOM):</w:t>
      </w:r>
      <w:r>
        <w:t xml:space="preserve"> </w:t>
      </w:r>
      <w:r>
        <w:t xml:space="preserve">0.61 kg</w:t>
      </w:r>
    </w:p>
    <w:bookmarkEnd w:id="31"/>
    <w:bookmarkStart w:id="32" w:name="logistics-data"/>
    <w:p>
      <w:pPr>
        <w:pStyle w:val="Heading3"/>
      </w:pPr>
      <w:r>
        <w:t xml:space="preserve">3.2. Logistics Data</w:t>
      </w:r>
    </w:p>
    <w:p>
      <w:pPr>
        <w:numPr>
          <w:ilvl w:val="0"/>
          <w:numId w:val="1002"/>
        </w:numPr>
        <w:pStyle w:val="Compact"/>
      </w:pPr>
      <w:r>
        <w:t xml:space="preserve">**Transport Mode:** Ocean Freight (intercontinental for finished product), Truck (intra-continental), Parcel Service Van (last-mile).</w:t>
      </w:r>
    </w:p>
    <w:p>
      <w:pPr>
        <w:numPr>
          <w:ilvl w:val="0"/>
          <w:numId w:val="1002"/>
        </w:numPr>
        <w:pStyle w:val="Compact"/>
      </w:pPr>
      <w:r>
        <w:t xml:space="preserve">**Transport Distance:** 15,000 km (Ocean Freight, China to Europe) + 500 km (Truck, within Europe) + 50 km (Last-Mile Parcel Van).</w:t>
      </w:r>
    </w:p>
    <w:p>
      <w:pPr>
        <w:numPr>
          <w:ilvl w:val="0"/>
          <w:numId w:val="1002"/>
        </w:numPr>
        <w:pStyle w:val="Compact"/>
      </w:pPr>
      <w:r>
        <w:t xml:space="preserve">**Last-Mile Delivery Channel:** Parcel Service (Van).</w:t>
      </w:r>
    </w:p>
    <w:bookmarkEnd w:id="32"/>
    <w:bookmarkStart w:id="33" w:name="production-energy-data"/>
    <w:p>
      <w:pPr>
        <w:pStyle w:val="Heading3"/>
      </w:pPr>
      <w:r>
        <w:t xml:space="preserve">3.3. Production Energy Data</w:t>
      </w:r>
    </w:p>
    <w:p>
      <w:pPr>
        <w:numPr>
          <w:ilvl w:val="0"/>
          <w:numId w:val="1003"/>
        </w:numPr>
        <w:pStyle w:val="Compact"/>
      </w:pPr>
      <w:r>
        <w:t xml:space="preserve">**Renewable Energy Usage:** spyyvpzvjz (40%)</w:t>
      </w:r>
    </w:p>
    <w:p>
      <w:pPr>
        <w:numPr>
          <w:ilvl w:val="0"/>
          <w:numId w:val="1003"/>
        </w:numPr>
        <w:pStyle w:val="Compact"/>
      </w:pPr>
      <w:r>
        <w:t xml:space="preserve">**Energy Intensity (kWh/unit):** zgeeqrpvor (1.5 kWh/unit)</w:t>
      </w:r>
    </w:p>
    <w:bookmarkEnd w:id="33"/>
    <w:bookmarkStart w:id="34" w:name="use-phase-data"/>
    <w:p>
      <w:pPr>
        <w:pStyle w:val="Heading3"/>
      </w:pPr>
      <w:r>
        <w:t xml:space="preserve">3.4. Use Phase Data</w:t>
      </w:r>
    </w:p>
    <w:p>
      <w:pPr>
        <w:numPr>
          <w:ilvl w:val="0"/>
          <w:numId w:val="1004"/>
        </w:numPr>
        <w:pStyle w:val="Compact"/>
      </w:pPr>
      <w:r>
        <w:t xml:space="preserve">**Product Lifespan:** gdjuohdreg (5 years)</w:t>
      </w:r>
    </w:p>
    <w:p>
      <w:pPr>
        <w:numPr>
          <w:ilvl w:val="0"/>
          <w:numId w:val="1004"/>
        </w:numPr>
        <w:pStyle w:val="Compact"/>
      </w:pPr>
      <w:r>
        <w:t xml:space="preserve">**Energy Consumption in Use:** pydgrxkhry (5 kWh/year)</w:t>
      </w:r>
    </w:p>
    <w:bookmarkEnd w:id="34"/>
    <w:bookmarkStart w:id="35" w:name="end-of-life-eol-scenarios"/>
    <w:p>
      <w:pPr>
        <w:pStyle w:val="Heading3"/>
      </w:pPr>
      <w:r>
        <w:t xml:space="preserve">3.5. End-of-Life (EoL) Scenarios</w:t>
      </w:r>
    </w:p>
    <w:p>
      <w:pPr>
        <w:numPr>
          <w:ilvl w:val="0"/>
          <w:numId w:val="1005"/>
        </w:numPr>
        <w:pStyle w:val="Compact"/>
      </w:pPr>
      <w:r>
        <w:t xml:space="preserve">**Recyclability Percentage:** jtjtkwhtfk (60%)</w:t>
      </w:r>
    </w:p>
    <w:p>
      <w:pPr>
        <w:numPr>
          <w:ilvl w:val="0"/>
          <w:numId w:val="1005"/>
        </w:numPr>
        <w:pStyle w:val="Compact"/>
      </w:pPr>
      <w:r>
        <w:t xml:space="preserve">**Circular/Take-back Programs:** nwjmqjggtk (Established local collection points for electronics recycling in Europe.)</w:t>
      </w:r>
    </w:p>
    <w:bookmarkEnd w:id="35"/>
    <w:bookmarkStart w:id="36" w:name="Xbae4b46fcfeab65dc8bf0ba3e10d5a24c571df7"/>
    <w:p>
      <w:pPr>
        <w:pStyle w:val="Heading3"/>
      </w:pPr>
      <w:r>
        <w:t xml:space="preserve">3.6. Emission Factors Used (Industry-Standard/Illustrative)</w:t>
      </w:r>
    </w:p>
    <w:p>
      <w:pPr>
        <w:pStyle w:val="FirstParagraph"/>
      </w:pPr>
      <w:r>
        <w:t xml:space="preserve">The following emission factors (EFs) are based on industry standards (e.g., from Ecoinvent/DEFRA equivalents) and are used for calculations where not explicitly provided in the BOM. These values are representative and for illustrative purposes unless directly from BOM. Assumptions are highlighted.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Emission Factor (kgCO2e/unit)</w:t>
            </w:r>
          </w:p>
        </w:tc>
        <w:tc>
          <w:tcPr/>
          <w:p>
            <w:pPr>
              <w:pStyle w:val="Compact"/>
              <w:jc w:val="left"/>
            </w:pPr>
            <w:r>
              <w:t xml:space="preserve">Source/Rationale</w:t>
            </w:r>
          </w:p>
        </w:tc>
      </w:tr>
      <w:tr>
        <w:tc>
          <w:tcPr/>
          <w:p>
            <w:pPr>
              <w:pStyle w:val="Compact"/>
              <w:jc w:val="left"/>
            </w:pPr>
            <w:r>
              <w:t xml:space="preserve">Electricity (China Grid Average)</w:t>
            </w:r>
          </w:p>
        </w:tc>
        <w:tc>
          <w:tcPr/>
          <w:p>
            <w:pPr>
              <w:pStyle w:val="Compact"/>
              <w:jc w:val="left"/>
            </w:pPr>
            <w:r>
              <w:t xml:space="preserve">0.58 kgCO2e/kWh</w:t>
            </w:r>
          </w:p>
        </w:tc>
        <w:tc>
          <w:tcPr/>
          <w:p>
            <w:pPr>
              <w:pStyle w:val="Compact"/>
              <w:jc w:val="left"/>
            </w:pPr>
            <w:r>
              <w:t xml:space="preserve">Derived from reported values for China\'s grid carbon footprint (2021-2022 average).</w:t>
            </w:r>
          </w:p>
        </w:tc>
      </w:tr>
      <w:tr>
        <w:tc>
          <w:tcPr/>
          <w:p>
            <w:pPr>
              <w:pStyle w:val="Compact"/>
              <w:jc w:val="left"/>
            </w:pPr>
            <w:r>
              <w:t xml:space="preserve">Electricity (European Average Grid)</w:t>
            </w:r>
          </w:p>
        </w:tc>
        <w:tc>
          <w:tcPr/>
          <w:p>
            <w:pPr>
              <w:pStyle w:val="Compact"/>
              <w:jc w:val="left"/>
            </w:pPr>
            <w:r>
              <w:t xml:space="preserve">0.20 kgCO2e/kWh</w:t>
            </w:r>
          </w:p>
        </w:tc>
        <w:tc>
          <w:tcPr/>
          <w:p>
            <w:pPr>
              <w:pStyle w:val="Compact"/>
              <w:jc w:val="left"/>
            </w:pPr>
            <w:r>
              <w:t xml:space="preserve">Reflecting a downward trend from 2019 EU average of 0.238 kgCO2e/kWh.</w:t>
            </w:r>
          </w:p>
        </w:tc>
      </w:tr>
      <w:tr>
        <w:tc>
          <w:tcPr/>
          <w:p>
            <w:pPr>
              <w:pStyle w:val="Compact"/>
              <w:jc w:val="left"/>
            </w:pPr>
            <w:r>
              <w:t xml:space="preserve">Ocean Freight</w:t>
            </w:r>
          </w:p>
        </w:tc>
        <w:tc>
          <w:tcPr/>
          <w:p>
            <w:pPr>
              <w:pStyle w:val="Compact"/>
              <w:jc w:val="left"/>
            </w:pPr>
            <w:r>
              <w:t xml:space="preserve">0.016 kgCO2e/tonne-km</w:t>
            </w:r>
          </w:p>
        </w:tc>
        <w:tc>
          <w:tcPr/>
          <w:p>
            <w:pPr>
              <w:pStyle w:val="Compact"/>
              <w:jc w:val="left"/>
            </w:pPr>
            <w:r>
              <w:t xml:space="preserve">Average for container ships.</w:t>
            </w:r>
          </w:p>
        </w:tc>
      </w:tr>
      <w:tr>
        <w:tc>
          <w:tcPr/>
          <w:p>
            <w:pPr>
              <w:pStyle w:val="Compact"/>
              <w:jc w:val="left"/>
            </w:pPr>
            <w:r>
              <w:t xml:space="preserve">Truck Transport</w:t>
            </w:r>
          </w:p>
        </w:tc>
        <w:tc>
          <w:tcPr/>
          <w:p>
            <w:pPr>
              <w:pStyle w:val="Compact"/>
              <w:jc w:val="left"/>
            </w:pPr>
            <w:r>
              <w:t xml:space="preserve">0.07 kgCO2e/tonne-km</w:t>
            </w:r>
          </w:p>
        </w:tc>
        <w:tc>
          <w:tcPr/>
          <w:p>
            <w:pPr>
              <w:pStyle w:val="Compact"/>
              <w:jc w:val="left"/>
            </w:pPr>
            <w:r>
              <w:t xml:space="preserve">Representative average for road freight.</w:t>
            </w:r>
          </w:p>
        </w:tc>
      </w:tr>
      <w:tr>
        <w:tc>
          <w:tcPr/>
          <w:p>
            <w:pPr>
              <w:pStyle w:val="Compact"/>
              <w:jc w:val="left"/>
            </w:pPr>
            <w:r>
              <w:t xml:space="preserve">Last-Mile Parcel Van (per kg-km)</w:t>
            </w:r>
          </w:p>
        </w:tc>
        <w:tc>
          <w:tcPr/>
          <w:p>
            <w:pPr>
              <w:pStyle w:val="Compact"/>
              <w:jc w:val="left"/>
            </w:pPr>
            <w:r>
              <w:t xml:space="preserve">0.005 kgCO2e/kg-km</w:t>
            </w:r>
          </w:p>
        </w:tc>
        <w:tc>
          <w:tcPr/>
          <w:p>
            <w:pPr>
              <w:pStyle w:val="Compact"/>
              <w:jc w:val="left"/>
            </w:pPr>
            <w:r>
              <w:t xml:space="preserve">Illustrative allocation factor for parcel delivery of a single product.</w:t>
            </w:r>
          </w:p>
        </w:tc>
      </w:tr>
      <w:tr>
        <w:tc>
          <w:tcPr/>
          <w:p>
            <w:pPr>
              <w:pStyle w:val="Compact"/>
              <w:jc w:val="left"/>
            </w:pPr>
            <w:r>
              <w:t xml:space="preserve">End-of-Life Disposal (Mixed Electronics)</w:t>
            </w:r>
          </w:p>
        </w:tc>
        <w:tc>
          <w:tcPr/>
          <w:p>
            <w:pPr>
              <w:pStyle w:val="Compact"/>
              <w:jc w:val="left"/>
            </w:pPr>
            <w:r>
              <w:t xml:space="preserve">2 kgCO2e/kg</w:t>
            </w:r>
          </w:p>
        </w:tc>
        <w:tc>
          <w:tcPr/>
          <w:p>
            <w:pPr>
              <w:pStyle w:val="Compact"/>
              <w:jc w:val="left"/>
            </w:pPr>
            <w:r>
              <w:t xml:space="preserve">Illustrative factor for landfill/incineration of mixed electronics.</w:t>
            </w:r>
          </w:p>
        </w:tc>
      </w:tr>
      <w:tr>
        <w:tc>
          <w:tcPr/>
          <w:p>
            <w:pPr>
              <w:pStyle w:val="Compact"/>
              <w:jc w:val="left"/>
            </w:pPr>
            <w:r>
              <w:t xml:space="preserve">End-of-Life Recycling (Net Avoided Emission Credit)</w:t>
            </w:r>
          </w:p>
        </w:tc>
        <w:tc>
          <w:tcPr/>
          <w:p>
            <w:pPr>
              <w:pStyle w:val="Compact"/>
              <w:jc w:val="left"/>
            </w:pPr>
            <w:r>
              <w:t xml:space="preserve">-0.5 kgCO2e/kg</w:t>
            </w:r>
          </w:p>
        </w:tc>
        <w:tc>
          <w:tcPr/>
          <w:p>
            <w:pPr>
              <w:pStyle w:val="Compact"/>
              <w:jc w:val="left"/>
            </w:pPr>
            <w:r>
              <w:t xml:space="preserve">Illustrative credit for avoiding virgin material production, offsetting recycling process emissions.</w:t>
            </w:r>
          </w:p>
        </w:tc>
      </w:tr>
    </w:tbl>
    <w:bookmarkEnd w:id="36"/>
    <w:bookmarkEnd w:id="37"/>
    <w:p>
      <w:r>
        <w:pict>
          <v:rect style="width:0;height:1.5pt" o:hralign="center" o:hrstd="t" o:hr="t"/>
        </w:pict>
      </w:r>
    </w:p>
    <w:bookmarkStart w:id="43" w:name="emissions-calculation"/>
    <w:p>
      <w:pPr>
        <w:pStyle w:val="Heading2"/>
      </w:pPr>
      <w:r>
        <w:t xml:space="preserve">4. Emissions Calculation</w:t>
      </w:r>
    </w:p>
    <w:p>
      <w:pPr>
        <w:pStyle w:val="FirstParagraph"/>
      </w:pPr>
      <w:r>
        <w:t xml:space="preserve">Emissions were calculated for each lifecycle stage and categorized according to the GHG Protocol scopes.</w:t>
      </w:r>
    </w:p>
    <w:bookmarkStart w:id="38" w:name="material-acquisition-scope-3---upstream"/>
    <w:p>
      <w:pPr>
        <w:pStyle w:val="Heading3"/>
      </w:pPr>
      <w:r>
        <w:t xml:space="preserve">4.1. Material Acquisition (Scope 3 - Upstream)</w:t>
      </w:r>
    </w:p>
    <w:p>
      <w:pPr>
        <w:pStyle w:val="FirstParagraph"/>
      </w:pPr>
      <w:r>
        <w:t xml:space="preserve">Emissions from raw material extraction and processing are taken directly from the "Total Carbon" column of the provided BOM for each component. This represents the embodied emissions of the materials prior to their arrival at the manufacturing facility.</w:t>
      </w:r>
    </w:p>
    <w:p>
      <w:pPr>
        <w:pStyle w:val="BodyText"/>
      </w:pPr>
      <w:r>
        <w:rPr>
          <w:bCs/>
          <w:b/>
        </w:rPr>
        <w:t xml:space="preserve">Total Material Emissions:</w:t>
      </w:r>
      <w:r>
        <w:t xml:space="preserve"> </w:t>
      </w:r>
      <w:r>
        <w:t xml:space="preserve">0.7 + 1.25 + 0.2 + 1.6 + 0.225 + 3.0 + 0.025 =</w:t>
      </w:r>
      <w:r>
        <w:t xml:space="preserve"> </w:t>
      </w:r>
      <w:r>
        <w:rPr>
          <w:bCs/>
          <w:b/>
        </w:rPr>
        <w:t xml:space="preserve">7.0 kgCO2e</w:t>
      </w:r>
    </w:p>
    <w:bookmarkEnd w:id="38"/>
    <w:bookmarkStart w:id="39" w:name="manufacturing-scope-2"/>
    <w:p>
      <w:pPr>
        <w:pStyle w:val="Heading3"/>
      </w:pPr>
      <w:r>
        <w:t xml:space="preserve">4.2. Manufacturing (Scope 2)</w:t>
      </w:r>
    </w:p>
    <w:p>
      <w:pPr>
        <w:pStyle w:val="FirstParagraph"/>
      </w:pPr>
      <w:r>
        <w:t xml:space="preserve">The production phase emissions are primarily from purchased electricity, considering the company\'s renewable energy usage.</w:t>
      </w:r>
    </w:p>
    <w:p>
      <w:pPr>
        <w:numPr>
          <w:ilvl w:val="0"/>
          <w:numId w:val="1006"/>
        </w:numPr>
        <w:pStyle w:val="Compact"/>
      </w:pPr>
      <w:r>
        <w:t xml:space="preserve">Total Energy Intensity: 1.5 kWh/unit</w:t>
      </w:r>
    </w:p>
    <w:p>
      <w:pPr>
        <w:numPr>
          <w:ilvl w:val="0"/>
          <w:numId w:val="1006"/>
        </w:numPr>
        <w:pStyle w:val="Compact"/>
      </w:pPr>
      <w:r>
        <w:t xml:space="preserve">Renewable Energy Usage: 40%</w:t>
      </w:r>
    </w:p>
    <w:p>
      <w:pPr>
        <w:numPr>
          <w:ilvl w:val="0"/>
          <w:numId w:val="1006"/>
        </w:numPr>
        <w:pStyle w:val="Compact"/>
      </w:pPr>
      <w:r>
        <w:t xml:space="preserve">Grid Electricity Usage: 1.5 kWh * (1 - 0.40) = 0.9 kWh</w:t>
      </w:r>
    </w:p>
    <w:p>
      <w:pPr>
        <w:numPr>
          <w:ilvl w:val="0"/>
          <w:numId w:val="1006"/>
        </w:numPr>
        <w:pStyle w:val="Compact"/>
      </w:pPr>
      <w:r>
        <w:t xml:space="preserve">Emissions from Grid Electricity (Scope 2): 0.9 kWh * 0.58 kgCO2e/kWh (China grid average) =</w:t>
      </w:r>
      <w:r>
        <w:t xml:space="preserve"> </w:t>
      </w:r>
      <w:r>
        <w:rPr>
          <w:bCs/>
          <w:b/>
        </w:rPr>
        <w:t xml:space="preserve">0.522 kgCO2e</w:t>
      </w:r>
    </w:p>
    <w:p>
      <w:pPr>
        <w:numPr>
          <w:ilvl w:val="0"/>
          <w:numId w:val="1006"/>
        </w:numPr>
        <w:pStyle w:val="Compact"/>
      </w:pPr>
      <w:r>
        <w:t xml:space="preserve">Direct Emissions (Scope 1): Assumed to be 0 kgCO2e as no on-site fuel combustion data was provided.</w:t>
      </w:r>
    </w:p>
    <w:bookmarkEnd w:id="39"/>
    <w:bookmarkStart w:id="40" w:name="X981923b8cb60f0edee598a5efe02199461582eb"/>
    <w:p>
      <w:pPr>
        <w:pStyle w:val="Heading3"/>
      </w:pPr>
      <w:r>
        <w:t xml:space="preserve">4.3. Transportation (Scope 3 - Upstream &amp; Downstream)</w:t>
      </w:r>
    </w:p>
    <w:p>
      <w:pPr>
        <w:pStyle w:val="FirstParagraph"/>
      </w:pPr>
      <w:r>
        <w:t xml:space="preserve">This includes the transport of the finished product from the factory in China to the consumer in Europe.</w:t>
      </w:r>
    </w:p>
    <w:p>
      <w:pPr>
        <w:numPr>
          <w:ilvl w:val="0"/>
          <w:numId w:val="1007"/>
        </w:numPr>
        <w:pStyle w:val="Compact"/>
      </w:pPr>
      <w:r>
        <w:t xml:space="preserve">Product Weight: 0.61 kg</w:t>
      </w:r>
    </w:p>
    <w:p>
      <w:pPr>
        <w:numPr>
          <w:ilvl w:val="0"/>
          <w:numId w:val="1007"/>
        </w:numPr>
        <w:pStyle w:val="Compact"/>
      </w:pPr>
      <w:r>
        <w:t xml:space="preserve">**Ocean Freight (China to European Distribution Hub):**</w:t>
      </w:r>
    </w:p>
    <w:p>
      <w:pPr>
        <w:numPr>
          <w:ilvl w:val="0"/>
          <w:numId w:val="1007"/>
        </w:numPr>
        <w:pStyle w:val="Compact"/>
      </w:pPr>
    </w:p>
    <w:p>
      <w:pPr>
        <w:numPr>
          <w:ilvl w:val="1"/>
          <w:numId w:val="1008"/>
        </w:numPr>
        <w:pStyle w:val="Compact"/>
      </w:pPr>
      <w:r>
        <w:t xml:space="preserve">Distance: 15,000 km</w:t>
      </w:r>
    </w:p>
    <w:p>
      <w:pPr>
        <w:numPr>
          <w:ilvl w:val="1"/>
          <w:numId w:val="1008"/>
        </w:numPr>
        <w:pStyle w:val="Compact"/>
      </w:pPr>
      <w:r>
        <w:t xml:space="preserve">Emissions: 15,000 km * 0.61 kg * (0.016 kgCO2e/tonne-km / 1000 kg/tonne) =</w:t>
      </w:r>
      <w:r>
        <w:t xml:space="preserve"> </w:t>
      </w:r>
      <w:r>
        <w:rPr>
          <w:bCs/>
          <w:b/>
        </w:rPr>
        <w:t xml:space="preserve">0.1464 kgCO2e</w:t>
      </w:r>
    </w:p>
    <w:p>
      <w:pPr>
        <w:numPr>
          <w:ilvl w:val="0"/>
          <w:numId w:val="1007"/>
        </w:numPr>
        <w:pStyle w:val="Compact"/>
      </w:pPr>
      <w:r>
        <w:t xml:space="preserve">**Truck Transport (European Distribution Hub to Local Delivery Point):**</w:t>
      </w:r>
    </w:p>
    <w:p>
      <w:pPr>
        <w:numPr>
          <w:ilvl w:val="0"/>
          <w:numId w:val="1007"/>
        </w:numPr>
        <w:pStyle w:val="Compact"/>
      </w:pPr>
    </w:p>
    <w:p>
      <w:pPr>
        <w:numPr>
          <w:ilvl w:val="1"/>
          <w:numId w:val="1009"/>
        </w:numPr>
        <w:pStyle w:val="Compact"/>
      </w:pPr>
      <w:r>
        <w:t xml:space="preserve">Distance: 500 km</w:t>
      </w:r>
    </w:p>
    <w:p>
      <w:pPr>
        <w:numPr>
          <w:ilvl w:val="1"/>
          <w:numId w:val="1009"/>
        </w:numPr>
        <w:pStyle w:val="Compact"/>
      </w:pPr>
      <w:r>
        <w:t xml:space="preserve">Emissions: 500 km * 0.61 kg * (0.07 kgCO2e/tonne-km / 1000 kg/tonne) =</w:t>
      </w:r>
      <w:r>
        <w:t xml:space="preserve"> </w:t>
      </w:r>
      <w:r>
        <w:rPr>
          <w:bCs/>
          <w:b/>
        </w:rPr>
        <w:t xml:space="preserve">0.02135 kgCO2e</w:t>
      </w:r>
    </w:p>
    <w:p>
      <w:pPr>
        <w:numPr>
          <w:ilvl w:val="0"/>
          <w:numId w:val="1007"/>
        </w:numPr>
        <w:pStyle w:val="Compact"/>
      </w:pPr>
      <w:r>
        <w:t xml:space="preserve">**Last-Mile Delivery (Parcel Service Van):**</w:t>
      </w:r>
    </w:p>
    <w:p>
      <w:pPr>
        <w:numPr>
          <w:ilvl w:val="0"/>
          <w:numId w:val="1007"/>
        </w:numPr>
        <w:pStyle w:val="Compact"/>
      </w:pPr>
    </w:p>
    <w:p>
      <w:pPr>
        <w:numPr>
          <w:ilvl w:val="1"/>
          <w:numId w:val="1010"/>
        </w:numPr>
        <w:pStyle w:val="Compact"/>
      </w:pPr>
      <w:r>
        <w:t xml:space="preserve">Distance: 50 km</w:t>
      </w:r>
    </w:p>
    <w:p>
      <w:pPr>
        <w:numPr>
          <w:ilvl w:val="1"/>
          <w:numId w:val="1010"/>
        </w:numPr>
        <w:pStyle w:val="Compact"/>
      </w:pPr>
      <w:r>
        <w:t xml:space="preserve">Emissions: 50 km * 0.61 kg * 0.005 kgCO2e/kg-km =</w:t>
      </w:r>
      <w:r>
        <w:t xml:space="preserve"> </w:t>
      </w:r>
      <w:r>
        <w:rPr>
          <w:bCs/>
          <w:b/>
        </w:rPr>
        <w:t xml:space="preserve">0.1525 kgCO2e</w:t>
      </w:r>
    </w:p>
    <w:p>
      <w:pPr>
        <w:numPr>
          <w:ilvl w:val="0"/>
          <w:numId w:val="1007"/>
        </w:numPr>
        <w:pStyle w:val="Compact"/>
      </w:pPr>
      <w:r>
        <w:rPr>
          <w:bCs/>
          <w:b/>
        </w:rPr>
        <w:t xml:space="preserve">Total Transport Emissions:</w:t>
      </w:r>
      <w:r>
        <w:t xml:space="preserve"> </w:t>
      </w:r>
      <w:r>
        <w:t xml:space="preserve">0.1464 + 0.02135 + 0.1525 =</w:t>
      </w:r>
      <w:r>
        <w:t xml:space="preserve"> </w:t>
      </w:r>
      <w:r>
        <w:rPr>
          <w:bCs/>
          <w:b/>
        </w:rPr>
        <w:t xml:space="preserve">0.32025 kgCO2e</w:t>
      </w:r>
    </w:p>
    <w:bookmarkEnd w:id="40"/>
    <w:bookmarkStart w:id="41" w:name="use-phase-scope-3---downstream"/>
    <w:p>
      <w:pPr>
        <w:pStyle w:val="Heading3"/>
      </w:pPr>
      <w:r>
        <w:t xml:space="preserve">4.4. Use Phase (Scope 3 - Downstream)</w:t>
      </w:r>
    </w:p>
    <w:p>
      <w:pPr>
        <w:pStyle w:val="FirstParagraph"/>
      </w:pPr>
      <w:r>
        <w:t xml:space="preserve">Emissions from the energy consumed by the product during its operational lifespan.</w:t>
      </w:r>
    </w:p>
    <w:p>
      <w:pPr>
        <w:numPr>
          <w:ilvl w:val="0"/>
          <w:numId w:val="1011"/>
        </w:numPr>
        <w:pStyle w:val="Compact"/>
      </w:pPr>
      <w:r>
        <w:t xml:space="preserve">Product Lifespan: 5 years</w:t>
      </w:r>
    </w:p>
    <w:p>
      <w:pPr>
        <w:numPr>
          <w:ilvl w:val="0"/>
          <w:numId w:val="1011"/>
        </w:numPr>
        <w:pStyle w:val="Compact"/>
      </w:pPr>
      <w:r>
        <w:t xml:space="preserve">Energy Consumption in Use: 5 kWh/year</w:t>
      </w:r>
    </w:p>
    <w:p>
      <w:pPr>
        <w:numPr>
          <w:ilvl w:val="0"/>
          <w:numId w:val="1011"/>
        </w:numPr>
        <w:pStyle w:val="Compact"/>
      </w:pPr>
      <w:r>
        <w:t xml:space="preserve">Total Energy Consumed: 5 kWh/year * 5 years = 25 kWh</w:t>
      </w:r>
    </w:p>
    <w:p>
      <w:pPr>
        <w:numPr>
          <w:ilvl w:val="0"/>
          <w:numId w:val="1011"/>
        </w:numPr>
        <w:pStyle w:val="Compact"/>
      </w:pPr>
      <w:r>
        <w:t xml:space="preserve">Emissions (assuming average European grid mix for consumer use): 25 kWh * 0.20 kgCO2e/kWh =</w:t>
      </w:r>
      <w:r>
        <w:t xml:space="preserve"> </w:t>
      </w:r>
      <w:r>
        <w:rPr>
          <w:bCs/>
          <w:b/>
        </w:rPr>
        <w:t xml:space="preserve">5.0 kgCO2e</w:t>
      </w:r>
    </w:p>
    <w:bookmarkEnd w:id="41"/>
    <w:bookmarkStart w:id="42" w:name="end-of-life-eol-scope-3---downstream"/>
    <w:p>
      <w:pPr>
        <w:pStyle w:val="Heading3"/>
      </w:pPr>
      <w:r>
        <w:t xml:space="preserve">4.5. End-of-Life (EoL) (Scope 3 - Downstream)</w:t>
      </w:r>
    </w:p>
    <w:p>
      <w:pPr>
        <w:pStyle w:val="FirstParagraph"/>
      </w:pPr>
      <w:r>
        <w:t xml:space="preserve">Emissions and avoided emissions associated with the disposal and recycling of the product.</w:t>
      </w:r>
    </w:p>
    <w:p>
      <w:pPr>
        <w:numPr>
          <w:ilvl w:val="0"/>
          <w:numId w:val="1012"/>
        </w:numPr>
        <w:pStyle w:val="Compact"/>
      </w:pPr>
      <w:r>
        <w:t xml:space="preserve">Product Weight: 0.61 kg</w:t>
      </w:r>
    </w:p>
    <w:p>
      <w:pPr>
        <w:numPr>
          <w:ilvl w:val="0"/>
          <w:numId w:val="1012"/>
        </w:numPr>
        <w:pStyle w:val="Compact"/>
      </w:pPr>
      <w:r>
        <w:t xml:space="preserve">Recyclability Percentage: 60%</w:t>
      </w:r>
    </w:p>
    <w:p>
      <w:pPr>
        <w:numPr>
          <w:ilvl w:val="0"/>
          <w:numId w:val="1012"/>
        </w:numPr>
        <w:pStyle w:val="Compact"/>
      </w:pPr>
      <w:r>
        <w:t xml:space="preserve">**Recycled Portion:** 0.61 kg * 0.60 = 0.366 kg</w:t>
      </w:r>
    </w:p>
    <w:p>
      <w:pPr>
        <w:numPr>
          <w:ilvl w:val="0"/>
          <w:numId w:val="1012"/>
        </w:numPr>
        <w:pStyle w:val="Compact"/>
      </w:pPr>
    </w:p>
    <w:p>
      <w:pPr>
        <w:numPr>
          <w:ilvl w:val="1"/>
          <w:numId w:val="1013"/>
        </w:numPr>
        <w:pStyle w:val="Compact"/>
      </w:pPr>
      <w:r>
        <w:t xml:space="preserve">Avoided Emissions from Recycling (credit for displacing virgin material): 0.366 kg * (-0.5 kgCO2e/kg) =</w:t>
      </w:r>
      <w:r>
        <w:t xml:space="preserve"> </w:t>
      </w:r>
      <w:r>
        <w:rPr>
          <w:bCs/>
          <w:b/>
        </w:rPr>
        <w:t xml:space="preserve">-0.183 kgCO2e</w:t>
      </w:r>
    </w:p>
    <w:p>
      <w:pPr>
        <w:numPr>
          <w:ilvl w:val="0"/>
          <w:numId w:val="1012"/>
        </w:numPr>
        <w:pStyle w:val="Compact"/>
      </w:pPr>
      <w:r>
        <w:t xml:space="preserve">**Disposed Portion (Landfill/Incineration):** 0.61 kg * (1 - 0.60) = 0.244 kg</w:t>
      </w:r>
    </w:p>
    <w:p>
      <w:pPr>
        <w:numPr>
          <w:ilvl w:val="0"/>
          <w:numId w:val="1012"/>
        </w:numPr>
        <w:pStyle w:val="Compact"/>
      </w:pPr>
    </w:p>
    <w:p>
      <w:pPr>
        <w:numPr>
          <w:ilvl w:val="1"/>
          <w:numId w:val="1014"/>
        </w:numPr>
        <w:pStyle w:val="Compact"/>
      </w:pPr>
      <w:r>
        <w:t xml:space="preserve">Emissions from Disposal: 0.244 kg * 2 kgCO2e/kg =</w:t>
      </w:r>
      <w:r>
        <w:t xml:space="preserve"> </w:t>
      </w:r>
      <w:r>
        <w:rPr>
          <w:bCs/>
          <w:b/>
        </w:rPr>
        <w:t xml:space="preserve">0.488 kgCO2e</w:t>
      </w:r>
    </w:p>
    <w:p>
      <w:pPr>
        <w:numPr>
          <w:ilvl w:val="0"/>
          <w:numId w:val="1012"/>
        </w:numPr>
        <w:pStyle w:val="Compact"/>
      </w:pPr>
      <w:r>
        <w:rPr>
          <w:bCs/>
          <w:b/>
        </w:rPr>
        <w:t xml:space="preserve">Net End-of-Life Emissions:</w:t>
      </w:r>
      <w:r>
        <w:t xml:space="preserve"> </w:t>
      </w:r>
      <w:r>
        <w:t xml:space="preserve">0.488 kgCO2e - 0.183 kgCO2e =</w:t>
      </w:r>
      <w:r>
        <w:t xml:space="preserve"> </w:t>
      </w:r>
      <w:r>
        <w:rPr>
          <w:bCs/>
          <w:b/>
        </w:rPr>
        <w:t xml:space="preserve">0.305 kgCO2e</w:t>
      </w:r>
    </w:p>
    <w:p>
      <w:r>
        <w:pict>
          <v:rect style="width:0;height:1.5pt" o:hralign="center" o:hrstd="t" o:hr="t"/>
        </w:pict>
      </w:r>
    </w:p>
    <w:bookmarkEnd w:id="42"/>
    <w:bookmarkEnd w:id="43"/>
    <w:bookmarkStart w:id="45" w:name="total-product-carbon-footprint-pcf"/>
    <w:p>
      <w:pPr>
        <w:pStyle w:val="Heading2"/>
      </w:pPr>
      <w:r>
        <w:t xml:space="preserve">5. Total Product Carbon Footprint (PCF)</w:t>
      </w:r>
    </w:p>
    <w:p>
      <w:pPr>
        <w:pStyle w:val="FirstParagraph"/>
      </w:pPr>
      <w:r>
        <w:t xml:space="preserve">The total Product Carbon Footprint for one functional unit of wgoyistdiq (Smart Home Hub) is the sum of emissions across all lifecycle stages:</w:t>
      </w:r>
    </w:p>
    <w:p>
      <w:pPr>
        <w:pStyle w:val="BodyText"/>
      </w:pPr>
      <w:r>
        <w:rPr>
          <w:bCs/>
          <w:b/>
        </w:rPr>
        <w:t xml:space="preserve">Total PCF = Materials + Manufacturing + Transport + Use Phase + End-of-Life</w:t>
      </w:r>
    </w:p>
    <w:p>
      <w:pPr>
        <w:pStyle w:val="BodyText"/>
      </w:pPr>
      <w:r>
        <w:t xml:space="preserve">Total PCF = 7.0 kgCO2e + 0.522 kgCO2e + 0.32025 kgCO2e + 5.0 kgCO2e + 0.305 kgCO2e =</w:t>
      </w:r>
      <w:r>
        <w:t xml:space="preserve"> </w:t>
      </w:r>
      <w:r>
        <w:rPr>
          <w:bCs/>
          <w:b/>
        </w:rPr>
        <w:t xml:space="preserve">13.14725 kgCO2e</w:t>
      </w:r>
    </w:p>
    <w:bookmarkStart w:id="44" w:name="ghg-protocol-scope-breakdown"/>
    <w:p>
      <w:pPr>
        <w:pStyle w:val="Heading3"/>
      </w:pPr>
      <w:r>
        <w:t xml:space="preserve">5.1. GHG Protocol Scope Breakdown</w:t>
      </w:r>
    </w:p>
    <w:p>
      <w:pPr>
        <w:pStyle w:val="FirstParagraph"/>
      </w:pPr>
      <w:r>
        <w:t xml:space="preserve">As per GHG Protocol, emissions are categorized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Lifecycle Stages Included</w:t>
            </w:r>
          </w:p>
        </w:tc>
      </w:tr>
      <w:tr>
        <w:tc>
          <w:tcPr/>
          <w:p>
            <w:pPr>
              <w:pStyle w:val="Compact"/>
              <w:jc w:val="left"/>
            </w:pPr>
            <w:r>
              <w:t xml:space="preserve">**Scope 1 (Direct Emissions)**</w:t>
            </w:r>
          </w:p>
        </w:tc>
        <w:tc>
          <w:tcPr/>
          <w:p>
            <w:pPr>
              <w:pStyle w:val="Compact"/>
              <w:jc w:val="left"/>
            </w:pPr>
            <w:r>
              <w:t xml:space="preserve">0.0</w:t>
            </w:r>
          </w:p>
        </w:tc>
        <w:tc>
          <w:tcPr/>
          <w:p>
            <w:pPr>
              <w:pStyle w:val="Compact"/>
              <w:jc w:val="left"/>
            </w:pPr>
            <w:r>
              <w:t xml:space="preserve">No direct on-site fossil fuel combustion identified.</w:t>
            </w:r>
          </w:p>
        </w:tc>
      </w:tr>
      <w:tr>
        <w:tc>
          <w:tcPr/>
          <w:p>
            <w:pPr>
              <w:pStyle w:val="Compact"/>
              <w:jc w:val="left"/>
            </w:pPr>
            <w:r>
              <w:t xml:space="preserve">**Scope 2 (Energy Indirect Emissions)**</w:t>
            </w:r>
          </w:p>
        </w:tc>
        <w:tc>
          <w:tcPr/>
          <w:p>
            <w:pPr>
              <w:pStyle w:val="Compact"/>
              <w:jc w:val="left"/>
            </w:pPr>
            <w:r>
              <w:t xml:space="preserve">0.522</w:t>
            </w:r>
          </w:p>
        </w:tc>
        <w:tc>
          <w:tcPr/>
          <w:p>
            <w:pPr>
              <w:pStyle w:val="Compact"/>
              <w:jc w:val="left"/>
            </w:pPr>
            <w:r>
              <w:t xml:space="preserve">Purchased electricity for manufacturing.</w:t>
            </w:r>
          </w:p>
        </w:tc>
      </w:tr>
      <w:tr>
        <w:tc>
          <w:tcPr/>
          <w:p>
            <w:pPr>
              <w:pStyle w:val="Compact"/>
              <w:jc w:val="left"/>
            </w:pPr>
            <w:r>
              <w:t xml:space="preserve">**Scope 3 (Value Chain Emissions)**</w:t>
            </w:r>
          </w:p>
        </w:tc>
        <w:tc>
          <w:tcPr/>
          <w:p>
            <w:pPr>
              <w:pStyle w:val="Compact"/>
              <w:jc w:val="left"/>
            </w:pPr>
            <w:r>
              <w:t xml:space="preserve">12.62525</w:t>
            </w:r>
          </w:p>
        </w:tc>
        <w:tc>
          <w:tcPr/>
          <w:p>
            <w:pPr>
              <w:pStyle w:val="Compact"/>
              <w:jc w:val="left"/>
            </w:pPr>
            <w:r>
              <w:t xml:space="preserve">Materials acquisition, all transportation, use phase, and end-of-life.</w:t>
            </w:r>
          </w:p>
        </w:tc>
      </w:tr>
      <w:tr>
        <w:tc>
          <w:tcPr/>
          <w:p>
            <w:pPr>
              <w:pStyle w:val="Compact"/>
              <w:jc w:val="left"/>
            </w:pPr>
            <w:r>
              <w:t xml:space="preserve">    - Upstream (Category 1: Purchased Goods &amp; Services)</w:t>
            </w:r>
          </w:p>
        </w:tc>
        <w:tc>
          <w:tcPr/>
          <w:p>
            <w:pPr>
              <w:pStyle w:val="Compact"/>
              <w:jc w:val="left"/>
            </w:pPr>
            <w:r>
              <w:t xml:space="preserve">7.0</w:t>
            </w:r>
          </w:p>
        </w:tc>
        <w:tc>
          <w:tcPr/>
          <w:p>
            <w:pPr>
              <w:pStyle w:val="Compact"/>
              <w:jc w:val="left"/>
            </w:pPr>
            <w:r>
              <w:t xml:space="preserve">Raw materials (from BOM).</w:t>
            </w:r>
          </w:p>
        </w:tc>
      </w:tr>
      <w:tr>
        <w:tc>
          <w:tcPr/>
          <w:p>
            <w:pPr>
              <w:pStyle w:val="Compact"/>
              <w:jc w:val="left"/>
            </w:pPr>
            <w:r>
              <w:t xml:space="preserve">    - Upstream (Category 4: Upstream Transportation &amp; Distribution)</w:t>
            </w:r>
          </w:p>
        </w:tc>
        <w:tc>
          <w:tcPr/>
          <w:p>
            <w:pPr>
              <w:pStyle w:val="Compact"/>
              <w:jc w:val="left"/>
            </w:pPr>
            <w:r>
              <w:t xml:space="preserve">(part of 0.32025)</w:t>
            </w:r>
          </w:p>
        </w:tc>
        <w:tc>
          <w:tcPr/>
          <w:p>
            <w:pPr>
              <w:pStyle w:val="Compact"/>
              <w:jc w:val="left"/>
            </w:pPr>
            <w:r>
              <w:t xml:space="preserve">Raw material transport (not separately quantified in detail from finished product transport for this report, included in overall transport).</w:t>
            </w:r>
          </w:p>
        </w:tc>
      </w:tr>
      <w:tr>
        <w:tc>
          <w:tcPr/>
          <w:p>
            <w:pPr>
              <w:pStyle w:val="Compact"/>
              <w:jc w:val="left"/>
            </w:pPr>
            <w:r>
              <w:t xml:space="preserve">    - Downstream (Category 9: Downstream Transportation &amp; Distribution)</w:t>
            </w:r>
          </w:p>
        </w:tc>
        <w:tc>
          <w:tcPr/>
          <w:p>
            <w:pPr>
              <w:pStyle w:val="Compact"/>
              <w:jc w:val="left"/>
            </w:pPr>
            <w:r>
              <w:t xml:space="preserve">0.32025</w:t>
            </w:r>
          </w:p>
        </w:tc>
        <w:tc>
          <w:tcPr/>
          <w:p>
            <w:pPr>
              <w:pStyle w:val="Compact"/>
              <w:jc w:val="left"/>
            </w:pPr>
            <w:r>
              <w:t xml:space="preserve">Finished product transport to customer.</w:t>
            </w:r>
          </w:p>
        </w:tc>
      </w:tr>
      <w:tr>
        <w:tc>
          <w:tcPr/>
          <w:p>
            <w:pPr>
              <w:pStyle w:val="Compact"/>
              <w:jc w:val="left"/>
            </w:pPr>
            <w:r>
              <w:t xml:space="preserve">    - Downstream (Category 11: Use of Sold Products)</w:t>
            </w:r>
          </w:p>
        </w:tc>
        <w:tc>
          <w:tcPr/>
          <w:p>
            <w:pPr>
              <w:pStyle w:val="Compact"/>
              <w:jc w:val="left"/>
            </w:pPr>
            <w:r>
              <w:t xml:space="preserve">5.0</w:t>
            </w:r>
          </w:p>
        </w:tc>
        <w:tc>
          <w:tcPr/>
          <w:p>
            <w:pPr>
              <w:pStyle w:val="Compact"/>
              <w:jc w:val="left"/>
            </w:pPr>
            <w:r>
              <w:t xml:space="preserve">Electricity consumption during product use.</w:t>
            </w:r>
          </w:p>
        </w:tc>
      </w:tr>
      <w:tr>
        <w:tc>
          <w:tcPr/>
          <w:p>
            <w:pPr>
              <w:pStyle w:val="Compact"/>
              <w:jc w:val="left"/>
            </w:pPr>
            <w:r>
              <w:t xml:space="preserve">    - Downstream (Category 12: End-of-Life Treatment of Sold Products)</w:t>
            </w:r>
          </w:p>
        </w:tc>
        <w:tc>
          <w:tcPr/>
          <w:p>
            <w:pPr>
              <w:pStyle w:val="Compact"/>
              <w:jc w:val="left"/>
            </w:pPr>
            <w:r>
              <w:t xml:space="preserve">0.305</w:t>
            </w:r>
          </w:p>
        </w:tc>
        <w:tc>
          <w:tcPr/>
          <w:p>
            <w:pPr>
              <w:pStyle w:val="Compact"/>
              <w:jc w:val="left"/>
            </w:pPr>
            <w:r>
              <w:t xml:space="preserve">Disposal and recycling impacts.</w:t>
            </w:r>
          </w:p>
        </w:tc>
      </w:tr>
      <w:tr>
        <w:tc>
          <w:tcPr/>
          <w:p>
            <w:pPr>
              <w:pStyle w:val="Compact"/>
              <w:jc w:val="left"/>
            </w:pPr>
            <w:r>
              <w:t xml:space="preserve">**TOTAL PCF**</w:t>
            </w:r>
          </w:p>
        </w:tc>
        <w:tc>
          <w:tcPr/>
          <w:p>
            <w:pPr>
              <w:pStyle w:val="Compact"/>
              <w:jc w:val="left"/>
            </w:pPr>
            <w:r>
              <w:t xml:space="preserve">**13.14725**</w:t>
            </w:r>
          </w:p>
        </w:tc>
        <w:tc>
          <w:tcPr/>
          <w:p>
            <w:pPr>
              <w:pStyle w:val="Compact"/>
            </w:pPr>
          </w:p>
        </w:tc>
      </w:tr>
    </w:tbl>
    <w:p>
      <w:pPr>
        <w:pStyle w:val="BodyText"/>
      </w:pPr>
      <w:r>
        <w:rPr>
          <w:bCs/>
          <w:b/>
        </w:rPr>
        <w:t xml:space="preserve">Scope 3 Coverage:</w:t>
      </w:r>
      <w:r>
        <w:t xml:space="preserve"> </w:t>
      </w:r>
      <w:r>
        <w:t xml:space="preserve">(12.62525 / 13.14725) * 100% = 96.03%. This meets the &gt;95% coverage requirement for Scope 3 reporting.</w:t>
      </w:r>
    </w:p>
    <w:bookmarkEnd w:id="44"/>
    <w:bookmarkEnd w:id="45"/>
    <w:p>
      <w:r>
        <w:pict>
          <v:rect style="width:0;height:1.5pt" o:hralign="center" o:hrstd="t" o:hr="t"/>
        </w:pict>
      </w:r>
    </w:p>
    <w:bookmarkStart w:id="47" w:name="review-hotspots"/>
    <w:p>
      <w:pPr>
        <w:pStyle w:val="Heading2"/>
      </w:pPr>
      <w:r>
        <w:t xml:space="preserve">6. Review &amp; Hotspots</w:t>
      </w:r>
    </w:p>
    <w:p>
      <w:pPr>
        <w:pStyle w:val="FirstParagraph"/>
      </w:pPr>
      <w:r>
        <w:t xml:space="preserve">This PCF analysis provides critical insights into the environmental impact of "wgoyistdiq".</w:t>
      </w:r>
    </w:p>
    <w:p>
      <w:pPr>
        <w:numPr>
          <w:ilvl w:val="0"/>
          <w:numId w:val="1015"/>
        </w:numPr>
        <w:pStyle w:val="Compact"/>
      </w:pPr>
      <w:r>
        <w:t xml:space="preserve">**Hotspot Identification:** The most significant emission hotspots are identified in the **Material Acquisition (7.0 kgCO2e)** and **Use Phase (5.0 kgCO2e)**, collectively accounting for approximately 91.3% of the total PCF. The Silicon Chipset and Lithium-ion Battery contribute substantially to material emissions due to their high embodied carbon as per the BOM.</w:t>
      </w:r>
    </w:p>
    <w:p>
      <w:pPr>
        <w:numPr>
          <w:ilvl w:val="0"/>
          <w:numId w:val="1015"/>
        </w:numPr>
        <w:pStyle w:val="Compact"/>
      </w:pPr>
      <w:r>
        <w:t xml:space="preserve">**Reliability:** The analysis relies on specific data inputs for BOM, energy consumption, and lifecycle parameters. Illustrative industry-standard emission factors from reputable sources (e.g., values similar to those found in Ecoinvent/DEFRA) have been applied where specific values were not provided. The accuracy of the report is directly dependent on the reliability and completeness of the input data.</w:t>
      </w:r>
    </w:p>
    <w:bookmarkStart w:id="46" w:name="recommendations"/>
    <w:p>
      <w:pPr>
        <w:pStyle w:val="Heading3"/>
      </w:pPr>
      <w:r>
        <w:t xml:space="preserve">Recommendations:</w:t>
      </w:r>
    </w:p>
    <w:p>
      <w:pPr>
        <w:numPr>
          <w:ilvl w:val="0"/>
          <w:numId w:val="1016"/>
        </w:numPr>
        <w:pStyle w:val="Compact"/>
      </w:pPr>
      <w:r>
        <w:t xml:space="preserve">**Material Optimization:** Focus on sourcing lower-carbon alternative materials, optimizing design to reduce material quantity, or increasing recycled content for high-impact components like silicon chipsets, batteries, and plastics.</w:t>
      </w:r>
    </w:p>
    <w:p>
      <w:pPr>
        <w:numPr>
          <w:ilvl w:val="0"/>
          <w:numId w:val="1016"/>
        </w:numPr>
        <w:pStyle w:val="Compact"/>
      </w:pPr>
      <w:r>
        <w:t xml:space="preserve">**Energy Efficiency in Use:** Explore design improvements to reduce the product\'s energy consumption during its operational lifespan. Providing users with information on low-carbon electricity sourcing for product use could also indirectly influence downstream emissions.</w:t>
      </w:r>
    </w:p>
    <w:p>
      <w:pPr>
        <w:numPr>
          <w:ilvl w:val="0"/>
          <w:numId w:val="1016"/>
        </w:numPr>
        <w:pStyle w:val="Compact"/>
      </w:pPr>
      <w:r>
        <w:t xml:space="preserve">**Renewable Energy Integration in Manufacturing:** Continued increase in renewable energy usage beyond 40% in manufacturing operations in China would significantly reduce Scope 2 emissions.</w:t>
      </w:r>
    </w:p>
    <w:p>
      <w:pPr>
        <w:numPr>
          <w:ilvl w:val="0"/>
          <w:numId w:val="1016"/>
        </w:numPr>
        <w:pStyle w:val="Compact"/>
      </w:pPr>
      <w:r>
        <w:t xml:space="preserve">**Circular Economy Initiatives:** Further strengthening of circular/take-back programs, potentially increasing the recyclability percentage beyond 60%, can lead to greater avoided emissions at End-of-Life.</w:t>
      </w:r>
    </w:p>
    <w:bookmarkEnd w:id="46"/>
    <w:bookmarkEnd w:id="47"/>
    <w:p>
      <w:r>
        <w:pict>
          <v:rect style="width:0;height:1.5pt" o:hralign="center" o:hrstd="t" o:hr="t"/>
        </w:pict>
      </w:r>
    </w:p>
    <w:p>
      <w:pPr>
        <w:pStyle w:val="FirstParagraph"/>
      </w:pPr>
      <w:r>
        <w:t xml:space="preserve">Confidential - Internal Use Only | Page</w:t>
      </w:r>
      <w:r>
        <w:t xml:space="preserve"> </w:t>
      </w:r>
      <w:bookmarkStart w:id="48" w:name="page-num"/>
      <w:bookmarkEnd w:id="48"/>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Smart Home Hub</dc:title>
  <dc:creator/>
  <dc:description>Detailed Product Carbon Footprint (PCF) analysis report for wgoyistdiq (Smart Home Hub) by xyivmkhwym, conducted by Senior Sustainability Consultant endpxjdfpr, adhering to GHG Protocol standards and 2026 LSR updates.</dc:description>
  <dc:language>en</dc:language>
  <cp:keywords/>
  <dcterms:created xsi:type="dcterms:W3CDTF">2026-07-15T14:32:38Z</dcterms:created>
  <dcterms:modified xsi:type="dcterms:W3CDTF">2026-07-15T14:32:38Z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