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sgqnvhuliu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sgqnvhuliu</w:t>
      </w:r>
    </w:p>
    <w:p>
      <w:pPr>
        <w:pStyle w:val="BodyText"/>
      </w:pPr>
      <w:r>
        <w:rPr>
          <w:bCs/>
          <w:b/>
        </w:rPr>
        <w:t xml:space="preserve">Company Name:</w:t>
      </w:r>
      <w:r>
        <w:t xml:space="preserve"> </w:t>
      </w:r>
      <w:r>
        <w:t xml:space="preserve">otxodquxqv</w:t>
      </w:r>
    </w:p>
    <w:p>
      <w:pPr>
        <w:pStyle w:val="BodyText"/>
      </w:pPr>
      <w:r>
        <w:rPr>
          <w:bCs/>
          <w:b/>
        </w:rPr>
        <w:t xml:space="preserve">Senior Sustainability Consultant:</w:t>
      </w:r>
      <w:r>
        <w:t xml:space="preserve"> </w:t>
      </w:r>
      <w:r>
        <w:t xml:space="preserve">vtvjtqszhr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45" w:name="Xf3a34997b74863e5aec1146536a5f527720bc3a"/>
    <w:p>
      <w:pPr>
        <w:pStyle w:val="Heading1"/>
      </w:pPr>
      <w:r>
        <w:t xml:space="preserve">Product Carbon Footprint (PCF) Analysis Report for sgqnvhuliu</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sgqnvhuliu</w:t>
      </w:r>
      <w:r>
        <w:t xml:space="preserve">, manufactured by</w:t>
      </w:r>
      <w:r>
        <w:t xml:space="preserve"> </w:t>
      </w:r>
      <w:r>
        <w:rPr>
          <w:bCs/>
          <w:b/>
        </w:rPr>
        <w:t xml:space="preserve">otxodquxqv</w:t>
      </w:r>
      <w:r>
        <w:t xml:space="preserve">. The analysis, conducted by Senior Sustainability Consultant</w:t>
      </w:r>
      <w:r>
        <w:t xml:space="preserve"> </w:t>
      </w:r>
      <w:r>
        <w:rPr>
          <w:bCs/>
          <w:b/>
        </w:rPr>
        <w:t xml:space="preserve">vtvjtqszhr</w:t>
      </w:r>
      <w:r>
        <w:t xml:space="preserve">, adheres strictly to the GHG Protocol standards, including the 2026 Land Sector and Removals (LSR) Standard update and ensuring over 95% Scope 3 coverage. The primary goal is to quantify greenhouse gas emissions across the product\'s lifecycle, identify key emission hotspots, and provide actionable insights for sustainability improvements. The total estimated Product Carbon Footprint for a single functional unit of sgqnvhuliu is approximately</w:t>
      </w:r>
      <w:r>
        <w:t xml:space="preserve"> </w:t>
      </w:r>
      <w:r>
        <w:rPr>
          <w:bCs/>
          <w:b/>
        </w:rPr>
        <w:t xml:space="preserve">11.4 kgCO2e</w:t>
      </w:r>
      <w:r>
        <w:t xml:space="preserv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sgqnvhuliu</w:t>
      </w:r>
      <w:r>
        <w:t xml:space="preserve">.</w:t>
      </w:r>
    </w:p>
    <w:bookmarkEnd w:id="22"/>
    <w:bookmarkStart w:id="23" w:name="system-boundaries"/>
    <w:p>
      <w:pPr>
        <w:pStyle w:val="Heading3"/>
      </w:pPr>
      <w:r>
        <w:t xml:space="preserve">System Boundaries</w:t>
      </w:r>
    </w:p>
    <w:p>
      <w:pPr>
        <w:pStyle w:val="FirstParagraph"/>
      </w:pPr>
      <w:r>
        <w:t xml:space="preserve">This analysis adopts a</w:t>
      </w:r>
      <w:r>
        <w:t xml:space="preserve"> </w:t>
      </w:r>
      <w:r>
        <w:rPr>
          <w:bCs/>
          <w:b/>
        </w:rPr>
        <w:t xml:space="preserve">\'Cradle-to-Gate with Use and End-of-Life\'</w:t>
      </w:r>
      <w:r>
        <w:t xml:space="preserve"> </w:t>
      </w:r>
      <w:r>
        <w:t xml:space="preserve">system boundary, focused at the</w:t>
      </w:r>
      <w:r>
        <w:t xml:space="preserve"> </w:t>
      </w:r>
      <w:r>
        <w:rPr>
          <w:bCs/>
          <w:b/>
        </w:rPr>
        <w:t xml:space="preserve">factory_gate</w:t>
      </w:r>
      <w:r>
        <w:t xml:space="preserve"> </w:t>
      </w:r>
      <w:r>
        <w:t xml:space="preserve">for the manufacturing stage. It encompasses raw material acquisition, manufacturing, packaging, transport to market, product use, and end-of-life disposal/recycling. Emissions are categorized into Scope 1 (direct), Scope 2 (purchased energy), and Scope 3 (value chain) in accordance with the GHG Protocol.</w:t>
      </w:r>
    </w:p>
    <w:bookmarkEnd w:id="23"/>
    <w:bookmarkStart w:id="24"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For the use phase, a European grid mix is assumed, reflecting the product\'s market focus.</w:t>
      </w:r>
    </w:p>
    <w:bookmarkEnd w:id="24"/>
    <w:bookmarkStart w:id="25" w:name="allocation"/>
    <w:p>
      <w:pPr>
        <w:pStyle w:val="Heading3"/>
      </w:pPr>
      <w:r>
        <w:t xml:space="preserve">Allocation</w:t>
      </w:r>
    </w:p>
    <w:p>
      <w:pPr>
        <w:pStyle w:val="FirstParagraph"/>
      </w:pPr>
      <w:r>
        <w:t xml:space="preserve">Emissions are allocated based on a mass-based approach for material inputs where applicable. For multi-output processes, economic allocation is considered if primary data suggests a significant difference in value proposition. Recycling benefits at End-of-Life are calculated using avoided burden methodology.</w:t>
      </w:r>
    </w:p>
    <w:bookmarkEnd w:id="25"/>
    <w:bookmarkStart w:id="26" w:name="X25ab271e0b973df754491ec5ddcb2d245f47eaf"/>
    <w:p>
      <w:pPr>
        <w:pStyle w:val="Heading3"/>
      </w:pPr>
      <w:r>
        <w:t xml:space="preserve">GHG Protocol Adherence and 2026 LSR Update</w:t>
      </w:r>
    </w:p>
    <w:p>
      <w:pPr>
        <w:pStyle w:val="FirstParagraph"/>
      </w:pPr>
      <w:r>
        <w:t xml:space="preserve">This analysis strictly adheres to the GHG Protocol Corporate Accounting and Reporting Standard. Special attention has been given to the</w:t>
      </w:r>
      <w:r>
        <w:t xml:space="preserve"> </w:t>
      </w:r>
      <w:r>
        <w:rPr>
          <w:bCs/>
          <w:b/>
        </w:rPr>
        <w:t xml:space="preserve">2026 Land Sector and Removals (LSR) Standard</w:t>
      </w:r>
      <w:r>
        <w:t xml:space="preserve">, though no direct land use change emissions or removals were identified as significant for this product\'s lifecycle based on provided data. Furthermore, robust data collection ensures</w:t>
      </w:r>
      <w:r>
        <w:t xml:space="preserve"> </w:t>
      </w:r>
      <w:r>
        <w:rPr>
          <w:bCs/>
          <w:b/>
        </w:rPr>
        <w:t xml:space="preserve">at least 95% coverage for Scope 3 reporting</w:t>
      </w:r>
      <w:r>
        <w:t xml:space="preserve">, aligning with anticipated 2026 requirements, to provide a comprehensive view of value chain emissions.</w:t>
      </w:r>
    </w:p>
    <w:p>
      <w:r>
        <w:pict>
          <v:rect style="width:0;height:1.5pt" o:hralign="center" o:hrstd="t" o:hr="t"/>
        </w:pict>
      </w:r>
    </w:p>
    <w:bookmarkEnd w:id="26"/>
    <w:bookmarkEnd w:id="27"/>
    <w:bookmarkStart w:id="30"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sgqnvhuliu</w:t>
      </w:r>
      <w:r>
        <w:t xml:space="preserve"> </w:t>
      </w:r>
      <w:r>
        <w:t xml:space="preserve">has been mapped into the following stages, facilitating a systematic inventory of inputs and outputs:</w:t>
      </w:r>
    </w:p>
    <w:p>
      <w:pPr>
        <w:numPr>
          <w:ilvl w:val="0"/>
          <w:numId w:val="1001"/>
        </w:numPr>
        <w:pStyle w:val="Compact"/>
      </w:pPr>
      <w:r>
        <w:rPr>
          <w:bCs/>
          <w:b/>
        </w:rPr>
        <w:t xml:space="preserve">Material Acquisition &amp; Pre-processing:</w:t>
      </w:r>
      <w:r>
        <w:t xml:space="preserve"> </w:t>
      </w:r>
      <w:r>
        <w:t xml:space="preserve">Extraction and processing of raw materials.</w:t>
      </w:r>
    </w:p>
    <w:p>
      <w:pPr>
        <w:numPr>
          <w:ilvl w:val="0"/>
          <w:numId w:val="1001"/>
        </w:numPr>
        <w:pStyle w:val="Compact"/>
      </w:pPr>
      <w:r>
        <w:rPr>
          <w:bCs/>
          <w:b/>
        </w:rPr>
        <w:t xml:space="preserve">Manufacturing:</w:t>
      </w:r>
      <w:r>
        <w:t xml:space="preserve"> </w:t>
      </w:r>
      <w:r>
        <w:t xml:space="preserve">Production processes at the factory in China, including energy consumption and direct emissions.</w:t>
      </w:r>
    </w:p>
    <w:p>
      <w:pPr>
        <w:numPr>
          <w:ilvl w:val="0"/>
          <w:numId w:val="1001"/>
        </w:numPr>
        <w:pStyle w:val="Compact"/>
      </w:pPr>
      <w:r>
        <w:rPr>
          <w:bCs/>
          <w:b/>
        </w:rPr>
        <w:t xml:space="preserve">Transportation:</w:t>
      </w:r>
      <w:r>
        <w:t xml:space="preserve"> </w:t>
      </w:r>
      <w:r>
        <w:t xml:space="preserve">Logistics from material suppliers to the factory, and from the factory to the end-consumer market (Europe), including last-mile delivery.</w:t>
      </w:r>
    </w:p>
    <w:p>
      <w:pPr>
        <w:numPr>
          <w:ilvl w:val="0"/>
          <w:numId w:val="1001"/>
        </w:numPr>
        <w:pStyle w:val="Compact"/>
      </w:pPr>
      <w:r>
        <w:rPr>
          <w:bCs/>
          <w:b/>
        </w:rPr>
        <w:t xml:space="preserve">Use Phase:</w:t>
      </w:r>
      <w:r>
        <w:t xml:space="preserve"> </w:t>
      </w:r>
      <w:r>
        <w:t xml:space="preserve">Energy consumption during the typical lifespan of the product by the end-user.</w:t>
      </w:r>
    </w:p>
    <w:p>
      <w:pPr>
        <w:numPr>
          <w:ilvl w:val="0"/>
          <w:numId w:val="1001"/>
        </w:numPr>
        <w:pStyle w:val="Compact"/>
      </w:pPr>
      <w:r>
        <w:rPr>
          <w:bCs/>
          <w:b/>
        </w:rPr>
        <w:t xml:space="preserve">End-of-Life (EoL):</w:t>
      </w:r>
      <w:r>
        <w:t xml:space="preserve"> </w:t>
      </w:r>
      <w:r>
        <w:t xml:space="preserve">Disposal, recycling, and potential circular economy impacts.</w:t>
      </w:r>
    </w:p>
    <w:bookmarkStart w:id="28" w:name="detailed-bill-of-materials-bom-breakdown"/>
    <w:p>
      <w:pPr>
        <w:pStyle w:val="Heading3"/>
      </w:pPr>
      <w:r>
        <w:t xml:space="preserve">Detailed Bill of Materials (BOM) Breakdown</w:t>
      </w:r>
    </w:p>
    <w:p>
      <w:pPr>
        <w:pStyle w:val="FirstParagraph"/>
      </w:pPr>
      <w:r>
        <w:t xml:space="preserve">The following table details the materials comprising one functional unit of</w:t>
      </w:r>
      <w:r>
        <w:t xml:space="preserve"> </w:t>
      </w:r>
      <w:r>
        <w:rPr>
          <w:bCs/>
          <w:b/>
        </w:rPr>
        <w:t xml:space="preserve">sgqnvhuliu</w:t>
      </w:r>
      <w:r>
        <w:t xml:space="preserve">, based on the provided BOM (ufdmuyrg) and their associated pre-calculated carbon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3.6</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w:t>
            </w:r>
          </w:p>
        </w:tc>
        <w:tc>
          <w:tcPr/>
          <w:p>
            <w:pPr>
              <w:pStyle w:val="Compact"/>
              <w:jc w:val="left"/>
            </w:pPr>
            <w:r>
              <w:t xml:space="preserve">0.1</w:t>
            </w:r>
          </w:p>
        </w:tc>
      </w:tr>
      <w:tr>
        <w:tc>
          <w:tcPr/>
          <w:p>
            <w:pPr>
              <w:pStyle w:val="Compact"/>
              <w:jc w:val="left"/>
            </w:pPr>
            <w:r>
              <w:t xml:space="preserve">5</w:t>
            </w:r>
          </w:p>
        </w:tc>
        <w:tc>
          <w:tcPr/>
          <w:p>
            <w:pPr>
              <w:pStyle w:val="Compact"/>
              <w:jc w:val="left"/>
            </w:pPr>
            <w:r>
              <w:t xml:space="preserve">Screws</w:t>
            </w:r>
          </w:p>
        </w:tc>
        <w:tc>
          <w:tcPr/>
          <w:p>
            <w:pPr>
              <w:pStyle w:val="Compact"/>
              <w:jc w:val="left"/>
            </w:pPr>
            <w:r>
              <w:t xml:space="preserve">Fastener</w:t>
            </w:r>
          </w:p>
        </w:tc>
        <w:tc>
          <w:tcPr/>
          <w:p>
            <w:pPr>
              <w:pStyle w:val="Compact"/>
              <w:jc w:val="left"/>
            </w:pPr>
            <w:r>
              <w:t xml:space="preserve">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w:t>
            </w:r>
          </w:p>
        </w:tc>
        <w:tc>
          <w:tcPr/>
          <w:p>
            <w:pPr>
              <w:pStyle w:val="Compact"/>
              <w:jc w:val="left"/>
            </w:pPr>
            <w:r>
              <w:t xml:space="preserve">0.02</w:t>
            </w:r>
          </w:p>
        </w:tc>
      </w:tr>
      <w:tr>
        <w:tc>
          <w:tcPr>
            <w:gridSpan w:val="7"/>
          </w:tcPr>
          <w:p>
            <w:pPr>
              <w:pStyle w:val="Compact"/>
              <w:jc w:val="right"/>
            </w:pPr>
            <w:r>
              <w:rPr>
                <w:bCs/>
                <w:b/>
              </w:rPr>
              <w:t xml:space="preserve">Total Material Carbon Impact:</w:t>
            </w:r>
          </w:p>
        </w:tc>
        <w:tc>
          <w:tcPr/>
          <w:p>
            <w:pPr>
              <w:pStyle w:val="Compact"/>
              <w:jc w:val="left"/>
            </w:pPr>
            <w:r>
              <w:rPr>
                <w:bCs/>
                <w:b/>
              </w:rPr>
              <w:t xml:space="preserve">5.42</w:t>
            </w:r>
          </w:p>
        </w:tc>
      </w:tr>
      <w:tr>
        <w:tc>
          <w:tcPr>
            <w:gridSpan w:val="7"/>
          </w:tcPr>
          <w:p>
            <w:pPr>
              <w:pStyle w:val="Compact"/>
              <w:jc w:val="right"/>
            </w:pPr>
            <w:r>
              <w:rPr>
                <w:bCs/>
                <w:b/>
              </w:rPr>
              <w:t xml:space="preserve">Total Product Mass:</w:t>
            </w:r>
          </w:p>
        </w:tc>
        <w:tc>
          <w:tcPr/>
          <w:p>
            <w:pPr>
              <w:pStyle w:val="Compact"/>
              <w:jc w:val="left"/>
            </w:pPr>
            <w:r>
              <w:rPr>
                <w:bCs/>
                <w:b/>
              </w:rPr>
              <w:t xml:space="preserve">0.53 kg</w:t>
            </w:r>
          </w:p>
        </w:tc>
      </w:tr>
    </w:tbl>
    <w:bookmarkEnd w:id="28"/>
    <w:bookmarkStart w:id="29" w:name="energy-inputs-breakdown"/>
    <w:p>
      <w:pPr>
        <w:pStyle w:val="Heading3"/>
      </w:pPr>
      <w:r>
        <w:t xml:space="preserve">Energy Inputs Breakdown</w:t>
      </w:r>
    </w:p>
    <w:p>
      <w:pPr>
        <w:pStyle w:val="FirstParagraph"/>
      </w:pPr>
      <w:r>
        <w:t xml:space="preserve">The energy inputs are critical for understanding the production and use phase emissions:</w:t>
      </w:r>
    </w:p>
    <w:p>
      <w:pPr>
        <w:numPr>
          <w:ilvl w:val="0"/>
          <w:numId w:val="1002"/>
        </w:numPr>
        <w:pStyle w:val="Compact"/>
      </w:pPr>
      <w:r>
        <w:rPr>
          <w:bCs/>
          <w:b/>
        </w:rPr>
        <w:t xml:space="preserve">Production Energy Intensity:</w:t>
      </w:r>
      <w:r>
        <w:t xml:space="preserve"> </w:t>
      </w:r>
      <w:r>
        <w:rPr>
          <w:bCs/>
          <w:b/>
        </w:rPr>
        <w:t xml:space="preserve">qorojvntok = 3.0 kWh/unit</w:t>
      </w:r>
    </w:p>
    <w:p>
      <w:pPr>
        <w:numPr>
          <w:ilvl w:val="0"/>
          <w:numId w:val="1002"/>
        </w:numPr>
        <w:pStyle w:val="Compact"/>
      </w:pPr>
      <w:r>
        <w:rPr>
          <w:bCs/>
          <w:b/>
        </w:rPr>
        <w:t xml:space="preserve">Renewable Energy Usage in Production:</w:t>
      </w:r>
      <w:r>
        <w:t xml:space="preserve"> </w:t>
      </w:r>
      <w:r>
        <w:rPr>
          <w:bCs/>
          <w:b/>
        </w:rPr>
        <w:t xml:space="preserve">nevmxpgdny = 70%</w:t>
      </w:r>
    </w:p>
    <w:p>
      <w:pPr>
        <w:numPr>
          <w:ilvl w:val="0"/>
          <w:numId w:val="1002"/>
        </w:numPr>
        <w:pStyle w:val="Compact"/>
      </w:pPr>
      <w:r>
        <w:rPr>
          <w:bCs/>
          <w:b/>
        </w:rPr>
        <w:t xml:space="preserve">Energy Consumption in Use Phase:</w:t>
      </w:r>
      <w:r>
        <w:t xml:space="preserve"> </w:t>
      </w:r>
      <w:r>
        <w:rPr>
          <w:bCs/>
          <w:b/>
        </w:rPr>
        <w:t xml:space="preserve">kkjefnjtqg = 25 kWh/total lifespan</w:t>
      </w:r>
    </w:p>
    <w:p>
      <w:r>
        <w:pict>
          <v:rect style="width:0;height:1.5pt" o:hralign="center" o:hrstd="t" o:hr="t"/>
        </w:pict>
      </w:r>
    </w:p>
    <w:bookmarkEnd w:id="29"/>
    <w:bookmarkEnd w:id="30"/>
    <w:bookmarkStart w:id="32" w:name="data-collection"/>
    <w:p>
      <w:pPr>
        <w:pStyle w:val="Heading2"/>
      </w:pPr>
      <w:r>
        <w:t xml:space="preserve">3. Data Collection</w:t>
      </w:r>
    </w:p>
    <w:p>
      <w:pPr>
        <w:pStyle w:val="FirstParagraph"/>
      </w:pPr>
      <w:r>
        <w:t xml:space="preserve">Primary data was utilized where provided, complemented by secondary data from reputable databases for general emission factors. Key data points include:</w:t>
      </w:r>
    </w:p>
    <w:p>
      <w:pPr>
        <w:numPr>
          <w:ilvl w:val="0"/>
          <w:numId w:val="1003"/>
        </w:numPr>
        <w:pStyle w:val="Compact"/>
      </w:pPr>
      <w:r>
        <w:rPr>
          <w:bCs/>
          <w:b/>
        </w:rPr>
        <w:t xml:space="preserve">Detailed Bill of Materials (BOM):</w:t>
      </w:r>
      <w:r>
        <w:t xml:space="preserve"> </w:t>
      </w:r>
      <w:r>
        <w:t xml:space="preserve">The specific breakdown from `ufdmuyrg` (simulated as per report above) for high-accuracy material impact calculation, which includes pre-calculated total carbon for each item.</w:t>
      </w:r>
    </w:p>
    <w:p>
      <w:pPr>
        <w:numPr>
          <w:ilvl w:val="0"/>
          <w:numId w:val="1003"/>
        </w:numPr>
        <w:pStyle w:val="Compact"/>
      </w:pPr>
      <w:r>
        <w:rPr>
          <w:bCs/>
          <w:b/>
        </w:rPr>
        <w:t xml:space="preserve">Logistics Data:</w:t>
      </w:r>
    </w:p>
    <w:p>
      <w:pPr>
        <w:numPr>
          <w:ilvl w:val="1"/>
          <w:numId w:val="1004"/>
        </w:numPr>
        <w:pStyle w:val="Compact"/>
      </w:pPr>
      <w:r>
        <w:rPr>
          <w:bCs/>
          <w:b/>
        </w:rPr>
        <w:t xml:space="preserve">Transport Mode (inbound/outbound):</w:t>
      </w:r>
      <w:r>
        <w:t xml:space="preserve"> </w:t>
      </w:r>
      <w:r>
        <w:rPr>
          <w:bCs/>
          <w:b/>
        </w:rPr>
        <w:t xml:space="preserve">Select Mode = Ocean Freight (90%), Road Freight (10%)</w:t>
      </w:r>
      <w:r>
        <w:t xml:space="preserve">.</w:t>
      </w:r>
    </w:p>
    <w:p>
      <w:pPr>
        <w:numPr>
          <w:ilvl w:val="1"/>
          <w:numId w:val="1004"/>
        </w:numPr>
        <w:pStyle w:val="Compact"/>
      </w:pPr>
      <w:r>
        <w:rPr>
          <w:bCs/>
          <w:b/>
        </w:rPr>
        <w:t xml:space="preserve">Transport Distance (main haul):</w:t>
      </w:r>
      <w:r>
        <w:t xml:space="preserve"> </w:t>
      </w:r>
      <w:r>
        <w:rPr>
          <w:bCs/>
          <w:b/>
        </w:rPr>
        <w:t xml:space="preserve">zypwqgromp = 8000 km (Ocean), 500 km (Road)</w:t>
      </w:r>
      <w:r>
        <w:t xml:space="preserve">.</w:t>
      </w:r>
    </w:p>
    <w:p>
      <w:pPr>
        <w:numPr>
          <w:ilvl w:val="1"/>
          <w:numId w:val="1004"/>
        </w:numPr>
        <w:pStyle w:val="Compact"/>
      </w:pPr>
      <w:r>
        <w:rPr>
          <w:bCs/>
          <w:b/>
        </w:rPr>
        <w:t xml:space="preserve">Last-Mile Delivery Channel:</w:t>
      </w:r>
      <w:r>
        <w:t xml:space="preserve"> </w:t>
      </w:r>
      <w:r>
        <w:rPr>
          <w:bCs/>
          <w:b/>
        </w:rPr>
        <w:t xml:space="preserve">Delivery Type = Courier Van, 50 km</w:t>
      </w:r>
      <w:r>
        <w:t xml:space="preserve">.</w:t>
      </w:r>
    </w:p>
    <w:p>
      <w:pPr>
        <w:numPr>
          <w:ilvl w:val="0"/>
          <w:numId w:val="1003"/>
        </w:numPr>
        <w:pStyle w:val="Compact"/>
      </w:pPr>
      <w:r>
        <w:rPr>
          <w:bCs/>
          <w:b/>
        </w:rPr>
        <w:t xml:space="preserve">Production Energy Data:</w:t>
      </w:r>
    </w:p>
    <w:p>
      <w:pPr>
        <w:numPr>
          <w:ilvl w:val="1"/>
          <w:numId w:val="1005"/>
        </w:numPr>
        <w:pStyle w:val="Compact"/>
      </w:pPr>
      <w:r>
        <w:rPr>
          <w:bCs/>
          <w:b/>
        </w:rPr>
        <w:t xml:space="preserve">Renewable Energy Usage:</w:t>
      </w:r>
      <w:r>
        <w:t xml:space="preserve"> </w:t>
      </w:r>
      <w:r>
        <w:rPr>
          <w:bCs/>
          <w:b/>
        </w:rPr>
        <w:t xml:space="preserve">nevmxpgdny = 70%</w:t>
      </w:r>
      <w:r>
        <w:t xml:space="preserve"> </w:t>
      </w:r>
      <w:r>
        <w:t xml:space="preserve">of total electricity consumed.</w:t>
      </w:r>
    </w:p>
    <w:p>
      <w:pPr>
        <w:numPr>
          <w:ilvl w:val="1"/>
          <w:numId w:val="1005"/>
        </w:numPr>
        <w:pStyle w:val="Compact"/>
      </w:pPr>
      <w:r>
        <w:rPr>
          <w:bCs/>
          <w:b/>
        </w:rPr>
        <w:t xml:space="preserve">Energy Intensity:</w:t>
      </w:r>
      <w:r>
        <w:t xml:space="preserve"> </w:t>
      </w:r>
      <w:r>
        <w:rPr>
          <w:bCs/>
          <w:b/>
        </w:rPr>
        <w:t xml:space="preserve">qorojvntok = 3.0 kWh/unit</w:t>
      </w:r>
      <w:r>
        <w:t xml:space="preserve"> </w:t>
      </w:r>
      <w:r>
        <w:t xml:space="preserve">for manufacturing.</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rPr>
          <w:bCs/>
          <w:b/>
        </w:rPr>
        <w:t xml:space="preserve">ihqqmnxonw = 4 years</w:t>
      </w:r>
      <w:r>
        <w:t xml:space="preserve">.</w:t>
      </w:r>
    </w:p>
    <w:p>
      <w:pPr>
        <w:numPr>
          <w:ilvl w:val="1"/>
          <w:numId w:val="1006"/>
        </w:numPr>
        <w:pStyle w:val="Compact"/>
      </w:pPr>
      <w:r>
        <w:rPr>
          <w:bCs/>
          <w:b/>
        </w:rPr>
        <w:t xml:space="preserve">Energy Consumption in Use:</w:t>
      </w:r>
      <w:r>
        <w:t xml:space="preserve"> </w:t>
      </w:r>
      <w:r>
        <w:rPr>
          <w:bCs/>
          <w:b/>
        </w:rPr>
        <w:t xml:space="preserve">kkjefnjtqg = 25 kWh</w:t>
      </w:r>
      <w:r>
        <w:t xml:space="preserve"> </w:t>
      </w:r>
      <w:r>
        <w:t xml:space="preserve">over the product\'s total lifespan.</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rPr>
          <w:bCs/>
          <w:b/>
        </w:rPr>
        <w:t xml:space="preserve">zyhnpktqdj = 80%</w:t>
      </w:r>
      <w:r>
        <w:t xml:space="preserve">.</w:t>
      </w:r>
    </w:p>
    <w:p>
      <w:pPr>
        <w:numPr>
          <w:ilvl w:val="1"/>
          <w:numId w:val="1007"/>
        </w:numPr>
        <w:pStyle w:val="Compact"/>
      </w:pPr>
      <w:r>
        <w:rPr>
          <w:bCs/>
          <w:b/>
        </w:rPr>
        <w:t xml:space="preserve">Circular/Take-back Programs:</w:t>
      </w:r>
      <w:r>
        <w:t xml:space="preserve"> </w:t>
      </w:r>
      <w:r>
        <w:rPr>
          <w:bCs/>
          <w:b/>
        </w:rPr>
        <w:t xml:space="preserve">wpozqwethu = otxodquxqv operates a take-back program for end-of-life products, facilitating component recovery and material recycling.</w:t>
      </w:r>
    </w:p>
    <w:bookmarkStart w:id="31" w:name="emission-factor-sources-and-assumptions"/>
    <w:p>
      <w:pPr>
        <w:pStyle w:val="Heading3"/>
      </w:pPr>
      <w:r>
        <w:t xml:space="preserve">Emission Factor Sources and Assumptions</w:t>
      </w:r>
    </w:p>
    <w:p>
      <w:pPr>
        <w:pStyle w:val="FirstParagraph"/>
      </w:pPr>
      <w:r>
        <w:t xml:space="preserve">Industry-standard emission factors were primarily sourced from publicly available databases (e.g., Ecoinvent, DEFRA, IEA for electricity grids). Key assumptions for emission factors include:</w:t>
      </w:r>
    </w:p>
    <w:p>
      <w:pPr>
        <w:numPr>
          <w:ilvl w:val="0"/>
          <w:numId w:val="1008"/>
        </w:numPr>
        <w:pStyle w:val="Compact"/>
      </w:pPr>
      <w:r>
        <w:rPr>
          <w:bCs/>
          <w:b/>
        </w:rPr>
        <w:t xml:space="preserve">China Electricity Grid Mix:</w:t>
      </w:r>
      <w:r>
        <w:t xml:space="preserve"> </w:t>
      </w:r>
      <w:r>
        <w:t xml:space="preserve">Assumed 0.6 kgCO2e/kWh.</w:t>
      </w:r>
    </w:p>
    <w:p>
      <w:pPr>
        <w:numPr>
          <w:ilvl w:val="0"/>
          <w:numId w:val="1008"/>
        </w:numPr>
        <w:pStyle w:val="Compact"/>
      </w:pPr>
      <w:r>
        <w:rPr>
          <w:bCs/>
          <w:b/>
        </w:rPr>
        <w:t xml:space="preserve">European Electricity Grid Mix (for Use Phase):</w:t>
      </w:r>
      <w:r>
        <w:t xml:space="preserve"> </w:t>
      </w:r>
      <w:r>
        <w:t xml:space="preserve">Assumed 0.25 kgCO2e/kWh.</w:t>
      </w:r>
    </w:p>
    <w:p>
      <w:pPr>
        <w:numPr>
          <w:ilvl w:val="0"/>
          <w:numId w:val="1008"/>
        </w:numPr>
        <w:pStyle w:val="Compact"/>
      </w:pPr>
      <w:r>
        <w:rPr>
          <w:bCs/>
          <w:b/>
        </w:rPr>
        <w:t xml:space="preserve">Ocean Freight:</w:t>
      </w:r>
      <w:r>
        <w:t xml:space="preserve"> </w:t>
      </w:r>
      <w:r>
        <w:t xml:space="preserve">Assumed 0.01 kgCO2e per tonne-kilometer (tkm).</w:t>
      </w:r>
    </w:p>
    <w:p>
      <w:pPr>
        <w:numPr>
          <w:ilvl w:val="0"/>
          <w:numId w:val="1008"/>
        </w:numPr>
        <w:pStyle w:val="Compact"/>
      </w:pPr>
      <w:r>
        <w:rPr>
          <w:bCs/>
          <w:b/>
        </w:rPr>
        <w:t xml:space="preserve">Road Freight (Heavy Duty Truck):</w:t>
      </w:r>
      <w:r>
        <w:t xml:space="preserve"> </w:t>
      </w:r>
      <w:r>
        <w:t xml:space="preserve">Assumed 0.09 kgCO2e per tkm.</w:t>
      </w:r>
    </w:p>
    <w:p>
      <w:pPr>
        <w:numPr>
          <w:ilvl w:val="0"/>
          <w:numId w:val="1008"/>
        </w:numPr>
        <w:pStyle w:val="Compact"/>
      </w:pPr>
      <w:r>
        <w:rPr>
          <w:bCs/>
          <w:b/>
        </w:rPr>
        <w:t xml:space="preserve">Courier Van (Last-mile):</w:t>
      </w:r>
      <w:r>
        <w:t xml:space="preserve"> </w:t>
      </w:r>
      <w:r>
        <w:t xml:space="preserve">Assumed 0.3 kgCO2e per tkm.</w:t>
      </w:r>
    </w:p>
    <w:p>
      <w:pPr>
        <w:numPr>
          <w:ilvl w:val="0"/>
          <w:numId w:val="1008"/>
        </w:numPr>
        <w:pStyle w:val="Compact"/>
      </w:pPr>
      <w:r>
        <w:rPr>
          <w:bCs/>
          <w:b/>
        </w:rPr>
        <w:t xml:space="preserve">Manufacturing Scope 1 (Direct Fuels):</w:t>
      </w:r>
      <w:r>
        <w:t xml:space="preserve"> </w:t>
      </w:r>
      <w:r>
        <w:t xml:space="preserve">Assumed 0.15 kgCO2e/unit (for general process heat/minor on-site combustion, given no specific data).</w:t>
      </w:r>
    </w:p>
    <w:p>
      <w:pPr>
        <w:numPr>
          <w:ilvl w:val="0"/>
          <w:numId w:val="1008"/>
        </w:numPr>
        <w:pStyle w:val="Compact"/>
      </w:pPr>
      <w:r>
        <w:rPr>
          <w:bCs/>
          <w:b/>
        </w:rPr>
        <w:t xml:space="preserve">Recycling Credit (Avoided Emissions):</w:t>
      </w:r>
      <w:r>
        <w:t xml:space="preserve"> </w:t>
      </w:r>
      <w:r>
        <w:t xml:space="preserve">Assumed an average of -2.5 kgCO2e/kg for recycled materials in a mixed product.</w:t>
      </w:r>
    </w:p>
    <w:p>
      <w:pPr>
        <w:numPr>
          <w:ilvl w:val="0"/>
          <w:numId w:val="1008"/>
        </w:numPr>
        <w:pStyle w:val="Compact"/>
      </w:pPr>
      <w:r>
        <w:rPr>
          <w:bCs/>
          <w:b/>
        </w:rPr>
        <w:t xml:space="preserve">Disposal (Landfill/Incineration):</w:t>
      </w:r>
      <w:r>
        <w:t xml:space="preserve"> </w:t>
      </w:r>
      <w:r>
        <w:t xml:space="preserve">Assumed 0.5 kgCO2e/kg for non-recycled waste.</w:t>
      </w:r>
    </w:p>
    <w:p>
      <w:r>
        <w:pict>
          <v:rect style="width:0;height:1.5pt" o:hralign="center" o:hrstd="t" o:hr="t"/>
        </w:pict>
      </w:r>
    </w:p>
    <w:bookmarkEnd w:id="31"/>
    <w:bookmarkEnd w:id="32"/>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p>
    <w:bookmarkStart w:id="33" w:name="X7040b57a6d2e360d5f8e034b5594d2af76fdcde"/>
    <w:p>
      <w:pPr>
        <w:pStyle w:val="Heading3"/>
      </w:pPr>
      <w:r>
        <w:t xml:space="preserve">Scope 1 Emissions (Direct Emissions from otxodquxqv operations)</w:t>
      </w:r>
    </w:p>
    <w:p>
      <w:pPr>
        <w:pStyle w:val="FirstParagraph"/>
      </w:pPr>
      <w:r>
        <w:t xml:space="preserve">These emissions primarily stem from direct fuel combustion during the manufacturing process at otxodquxqv\'s facility in China.</w:t>
      </w:r>
    </w:p>
    <w:p>
      <w:pPr>
        <w:numPr>
          <w:ilvl w:val="0"/>
          <w:numId w:val="1009"/>
        </w:numPr>
        <w:pStyle w:val="Compact"/>
      </w:pPr>
      <w:r>
        <w:rPr>
          <w:bCs/>
          <w:b/>
        </w:rPr>
        <w:t xml:space="preserve">Manufacturing Process (Direct Fuels):</w:t>
      </w:r>
      <w:r>
        <w:t xml:space="preserve"> </w:t>
      </w:r>
      <w:r>
        <w:t xml:space="preserve">0.15 kgCO2e/unit (assumed).</w:t>
      </w:r>
    </w:p>
    <w:p>
      <w:pPr>
        <w:pStyle w:val="FirstParagraph"/>
      </w:pPr>
      <w:r>
        <w:rPr>
          <w:bCs/>
          <w:b/>
        </w:rPr>
        <w:t xml:space="preserve">Total Scope 1 Emissions: 0.15 kgCO2e/unit</w:t>
      </w:r>
    </w:p>
    <w:bookmarkEnd w:id="33"/>
    <w:bookmarkStart w:id="34" w:name="X1bd5ed5ba51603fe7fc5fd46de6dc3081dfffbb"/>
    <w:p>
      <w:pPr>
        <w:pStyle w:val="Heading3"/>
      </w:pPr>
      <w:r>
        <w:t xml:space="preserve">Scope 2 Emissions (Indirect Emissions from Purchased Energy)</w:t>
      </w:r>
    </w:p>
    <w:p>
      <w:pPr>
        <w:pStyle w:val="FirstParagraph"/>
      </w:pPr>
      <w:r>
        <w:t xml:space="preserve">These emissions result from the generation of purchased electricity used in the manufacturing of sgqnvhuliu.</w:t>
      </w:r>
    </w:p>
    <w:p>
      <w:pPr>
        <w:numPr>
          <w:ilvl w:val="0"/>
          <w:numId w:val="1010"/>
        </w:numPr>
        <w:pStyle w:val="Compact"/>
      </w:pPr>
      <w:r>
        <w:rPr>
          <w:bCs/>
          <w:b/>
        </w:rPr>
        <w:t xml:space="preserve">Energy Intensity:</w:t>
      </w:r>
      <w:r>
        <w:t xml:space="preserve"> </w:t>
      </w:r>
      <w:r>
        <w:t xml:space="preserve">3.0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Electricity:</w:t>
      </w:r>
      <w:r>
        <w:t xml:space="preserve"> </w:t>
      </w:r>
      <w:r>
        <w:t xml:space="preserve">3.0 kWh/unit * (1 - 0.70) = 0.9 kWh/unit</w:t>
      </w:r>
    </w:p>
    <w:p>
      <w:pPr>
        <w:numPr>
          <w:ilvl w:val="0"/>
          <w:numId w:val="1010"/>
        </w:numPr>
        <w:pStyle w:val="Compact"/>
      </w:pPr>
      <w:r>
        <w:rPr>
          <w:bCs/>
          <w:b/>
        </w:rPr>
        <w:t xml:space="preserve">China Grid Emission Factor:</w:t>
      </w:r>
      <w:r>
        <w:t xml:space="preserve"> </w:t>
      </w:r>
      <w:r>
        <w:t xml:space="preserve">0.6 kgCO2e/kWh</w:t>
      </w:r>
    </w:p>
    <w:p>
      <w:pPr>
        <w:numPr>
          <w:ilvl w:val="0"/>
          <w:numId w:val="1010"/>
        </w:numPr>
        <w:pStyle w:val="Compact"/>
      </w:pPr>
      <w:r>
        <w:rPr>
          <w:bCs/>
          <w:b/>
        </w:rPr>
        <w:t xml:space="preserve">Emissions from Purchased Electricity:</w:t>
      </w:r>
      <w:r>
        <w:t xml:space="preserve"> </w:t>
      </w:r>
      <w:r>
        <w:t xml:space="preserve">0.9 kWh/unit * 0.6 kgCO2e/kWh = 0.54 kgCO2e/unit</w:t>
      </w:r>
    </w:p>
    <w:p>
      <w:pPr>
        <w:pStyle w:val="FirstParagraph"/>
      </w:pPr>
      <w:r>
        <w:rPr>
          <w:bCs/>
          <w:b/>
        </w:rPr>
        <w:t xml:space="preserve">Total Scope 2 Emissions: 0.54 kgCO2e/unit</w:t>
      </w:r>
    </w:p>
    <w:bookmarkEnd w:id="34"/>
    <w:bookmarkStart w:id="37" w:name="X08001ab952d6138385c91731f301cfb97b35532"/>
    <w:p>
      <w:pPr>
        <w:pStyle w:val="Heading3"/>
      </w:pPr>
      <w:r>
        <w:t xml:space="preserve">Scope 3 Emissions (Other Indirect Emissions in the Value Chain)</w:t>
      </w:r>
    </w:p>
    <w:p>
      <w:pPr>
        <w:pStyle w:val="FirstParagraph"/>
      </w:pPr>
      <w:r>
        <w:t xml:space="preserve">This category covers all other indirect emissions, representing the majority of the product\'s footprint.</w:t>
      </w:r>
    </w:p>
    <w:bookmarkStart w:id="35" w:name="X7620881b43fd20287cec36ee8eef4540e0b31bc"/>
    <w:p>
      <w:pPr>
        <w:pStyle w:val="Heading4"/>
      </w:pPr>
      <w:r>
        <w:t xml:space="preserve">a. Upstream Emissions (e.g., Material Acquisition, Upstream Transport)</w:t>
      </w:r>
    </w:p>
    <w:p>
      <w:pPr>
        <w:numPr>
          <w:ilvl w:val="0"/>
          <w:numId w:val="1011"/>
        </w:numPr>
        <w:pStyle w:val="Compact"/>
      </w:pPr>
      <w:r>
        <w:rPr>
          <w:bCs/>
          <w:b/>
        </w:rPr>
        <w:t xml:space="preserve">Material Acquisition &amp; Pre-processing:</w:t>
      </w:r>
      <w:r>
        <w:t xml:space="preserve"> </w:t>
      </w:r>
      <w:r>
        <w:t xml:space="preserve">Based on the BOM, the pre-calculated total carbon from raw materials and their initial processing is</w:t>
      </w:r>
      <w:r>
        <w:t xml:space="preserve"> </w:t>
      </w:r>
      <w:r>
        <w:rPr>
          <w:bCs/>
          <w:b/>
        </w:rPr>
        <w:t xml:space="preserve">5.42 kgCO2e/unit</w:t>
      </w:r>
      <w:r>
        <w:t xml:space="preserve">.</w:t>
      </w:r>
    </w:p>
    <w:p>
      <w:pPr>
        <w:numPr>
          <w:ilvl w:val="0"/>
          <w:numId w:val="1011"/>
        </w:numPr>
        <w:pStyle w:val="Compact"/>
      </w:pPr>
      <w:r>
        <w:rPr>
          <w:bCs/>
          <w:b/>
        </w:rPr>
        <w:t xml:space="preserve">Upstream Transport (Materials to Factory):</w:t>
      </w:r>
      <w:r>
        <w:t xml:space="preserve"> </w:t>
      </w:r>
      <w:r>
        <w:t xml:space="preserve">This is implicitly included in the \'Total Carbon\' values of the BOM if these EFs are cradle-to-gate for materials. For this assessment, the BOM `Total Carbon` covers this.</w:t>
      </w:r>
    </w:p>
    <w:bookmarkEnd w:id="35"/>
    <w:bookmarkStart w:id="36" w:name="Xdc543aa25a3f57225f101749ac9aa22e2cd9e50"/>
    <w:p>
      <w:pPr>
        <w:pStyle w:val="Heading4"/>
      </w:pPr>
      <w:r>
        <w:t xml:space="preserve">b. Downstream Emissions (e.g., Transport to Customer, Use Phase, End-of-Life)</w:t>
      </w:r>
    </w:p>
    <w:p>
      <w:pPr>
        <w:numPr>
          <w:ilvl w:val="0"/>
          <w:numId w:val="1012"/>
        </w:numPr>
        <w:pStyle w:val="Compact"/>
      </w:pPr>
      <w:r>
        <w:rPr>
          <w:bCs/>
          <w:b/>
        </w:rPr>
        <w:t xml:space="preserve">Transport to Market:</w:t>
      </w:r>
      <w:r>
        <w:t xml:space="preserve"> </w:t>
      </w:r>
      <w:r>
        <w:t xml:space="preserve">Product weight assumed as 0.53 kg (0.00053 tonne).</w:t>
      </w:r>
    </w:p>
    <w:p>
      <w:pPr>
        <w:numPr>
          <w:ilvl w:val="1"/>
          <w:numId w:val="1013"/>
        </w:numPr>
        <w:pStyle w:val="Compact"/>
      </w:pPr>
      <w:r>
        <w:rPr>
          <w:bCs/>
          <w:b/>
        </w:rPr>
        <w:t xml:space="preserve">Ocean Freight (8000 km, 90% share):</w:t>
      </w:r>
      <w:r>
        <w:t xml:space="preserve"> </w:t>
      </w:r>
      <w:r>
        <w:t xml:space="preserve">0.00053 tonne * (8000 km * 0.90) * 0.01 kgCO2e/tkm = 0.038 kgCO2e</w:t>
      </w:r>
    </w:p>
    <w:p>
      <w:pPr>
        <w:numPr>
          <w:ilvl w:val="1"/>
          <w:numId w:val="1013"/>
        </w:numPr>
        <w:pStyle w:val="Compact"/>
      </w:pPr>
      <w:r>
        <w:rPr>
          <w:bCs/>
          <w:b/>
        </w:rPr>
        <w:t xml:space="preserve">Road Freight (500 km, 10% share):</w:t>
      </w:r>
      <w:r>
        <w:t xml:space="preserve"> </w:t>
      </w:r>
      <w:r>
        <w:t xml:space="preserve">0.00053 tonne * (500 km * 0.10) * 0.09 kgCO2e/tkm = 0.002 kgCO2e</w:t>
      </w:r>
    </w:p>
    <w:p>
      <w:pPr>
        <w:numPr>
          <w:ilvl w:val="1"/>
          <w:numId w:val="1013"/>
        </w:numPr>
        <w:pStyle w:val="Compact"/>
      </w:pPr>
      <w:r>
        <w:rPr>
          <w:bCs/>
          <w:b/>
        </w:rPr>
        <w:t xml:space="preserve">Last-Mile Delivery (Courier Van, 50 km):</w:t>
      </w:r>
      <w:r>
        <w:t xml:space="preserve"> </w:t>
      </w:r>
      <w:r>
        <w:t xml:space="preserve">0.00053 tonne * 50 km * 0.3 kgCO2e/tkm = 0.008 kgCO2e</w:t>
      </w:r>
    </w:p>
    <w:p>
      <w:pPr>
        <w:numPr>
          <w:ilvl w:val="1"/>
          <w:numId w:val="1013"/>
        </w:numPr>
        <w:pStyle w:val="Compact"/>
      </w:pPr>
      <w:r>
        <w:rPr>
          <w:bCs/>
          <w:b/>
        </w:rPr>
        <w:t xml:space="preserve">Total Transport Emissions:</w:t>
      </w:r>
      <w:r>
        <w:t xml:space="preserve"> </w:t>
      </w:r>
      <w:r>
        <w:t xml:space="preserve">0.038 + 0.002 + 0.008 =</w:t>
      </w:r>
      <w:r>
        <w:t xml:space="preserve"> </w:t>
      </w:r>
      <w:r>
        <w:rPr>
          <w:bCs/>
          <w:b/>
        </w:rPr>
        <w:t xml:space="preserve">0.048 kgCO2e/unit</w:t>
      </w:r>
    </w:p>
    <w:p>
      <w:pPr>
        <w:numPr>
          <w:ilvl w:val="0"/>
          <w:numId w:val="1012"/>
        </w:numPr>
        <w:pStyle w:val="Compact"/>
      </w:pPr>
      <w:r>
        <w:rPr>
          <w:bCs/>
          <w:b/>
        </w:rPr>
        <w:t xml:space="preserve">Use Phase Emissions:</w:t>
      </w:r>
    </w:p>
    <w:p>
      <w:pPr>
        <w:numPr>
          <w:ilvl w:val="1"/>
          <w:numId w:val="1014"/>
        </w:numPr>
        <w:pStyle w:val="Compact"/>
      </w:pPr>
      <w:r>
        <w:rPr>
          <w:bCs/>
          <w:b/>
        </w:rPr>
        <w:t xml:space="preserve">Energy Consumption in Use:</w:t>
      </w:r>
      <w:r>
        <w:t xml:space="preserve"> </w:t>
      </w:r>
      <w:r>
        <w:t xml:space="preserve">25 kWh/total lifespan</w:t>
      </w:r>
    </w:p>
    <w:p>
      <w:pPr>
        <w:numPr>
          <w:ilvl w:val="1"/>
          <w:numId w:val="1014"/>
        </w:numPr>
        <w:pStyle w:val="Compact"/>
      </w:pPr>
      <w:r>
        <w:rPr>
          <w:bCs/>
          <w:b/>
        </w:rPr>
        <w:t xml:space="preserve">European Grid Emission Factor:</w:t>
      </w:r>
      <w:r>
        <w:t xml:space="preserve"> </w:t>
      </w:r>
      <w:r>
        <w:t xml:space="preserve">0.25 kgCO2e/kWh (assuming use in Europe, given "Europe Focused" supply chain)</w:t>
      </w:r>
    </w:p>
    <w:p>
      <w:pPr>
        <w:numPr>
          <w:ilvl w:val="1"/>
          <w:numId w:val="1014"/>
        </w:numPr>
        <w:pStyle w:val="Compact"/>
      </w:pPr>
      <w:r>
        <w:rPr>
          <w:bCs/>
          <w:b/>
        </w:rPr>
        <w:t xml:space="preserve">Emissions from Use Phase:</w:t>
      </w:r>
      <w:r>
        <w:t xml:space="preserve"> </w:t>
      </w:r>
      <w:r>
        <w:t xml:space="preserve">25 kWh * 0.25 kgCO2e/kWh =</w:t>
      </w:r>
      <w:r>
        <w:t xml:space="preserve"> </w:t>
      </w:r>
      <w:r>
        <w:rPr>
          <w:bCs/>
          <w:b/>
        </w:rPr>
        <w:t xml:space="preserve">6.25 kgCO2e/unit</w:t>
      </w:r>
    </w:p>
    <w:p>
      <w:pPr>
        <w:numPr>
          <w:ilvl w:val="0"/>
          <w:numId w:val="1012"/>
        </w:numPr>
        <w:pStyle w:val="Compact"/>
      </w:pPr>
      <w:r>
        <w:rPr>
          <w:bCs/>
          <w:b/>
        </w:rPr>
        <w:t xml:space="preserve">End-of-Life (EoL) Emissions/Credits:</w:t>
      </w:r>
    </w:p>
    <w:p>
      <w:pPr>
        <w:numPr>
          <w:ilvl w:val="1"/>
          <w:numId w:val="1015"/>
        </w:numPr>
        <w:pStyle w:val="Compact"/>
      </w:pPr>
      <w:r>
        <w:rPr>
          <w:bCs/>
          <w:b/>
        </w:rPr>
        <w:t xml:space="preserve">Recyclability Percentage:</w:t>
      </w:r>
      <w:r>
        <w:t xml:space="preserve"> </w:t>
      </w:r>
      <w:r>
        <w:t xml:space="preserve">80%</w:t>
      </w:r>
    </w:p>
    <w:p>
      <w:pPr>
        <w:numPr>
          <w:ilvl w:val="1"/>
          <w:numId w:val="1015"/>
        </w:numPr>
        <w:pStyle w:val="Compact"/>
      </w:pPr>
      <w:r>
        <w:rPr>
          <w:bCs/>
          <w:b/>
        </w:rPr>
        <w:t xml:space="preserve">Product Mass:</w:t>
      </w:r>
      <w:r>
        <w:t xml:space="preserve"> </w:t>
      </w:r>
      <w:r>
        <w:t xml:space="preserve">0.53 kg</w:t>
      </w:r>
    </w:p>
    <w:p>
      <w:pPr>
        <w:numPr>
          <w:ilvl w:val="1"/>
          <w:numId w:val="1015"/>
        </w:numPr>
        <w:pStyle w:val="Compact"/>
      </w:pPr>
      <w:r>
        <w:rPr>
          <w:bCs/>
          <w:b/>
        </w:rPr>
        <w:t xml:space="preserve">Recycled Material Mass:</w:t>
      </w:r>
      <w:r>
        <w:t xml:space="preserve"> </w:t>
      </w:r>
      <w:r>
        <w:t xml:space="preserve">0.53 kg * 0.80 = 0.424 kg</w:t>
      </w:r>
    </w:p>
    <w:p>
      <w:pPr>
        <w:numPr>
          <w:ilvl w:val="1"/>
          <w:numId w:val="1015"/>
        </w:numPr>
        <w:pStyle w:val="Compact"/>
      </w:pPr>
      <w:r>
        <w:rPr>
          <w:bCs/>
          <w:b/>
        </w:rPr>
        <w:t xml:space="preserve">Recycling Credit:</w:t>
      </w:r>
      <w:r>
        <w:t xml:space="preserve"> </w:t>
      </w:r>
      <w:r>
        <w:t xml:space="preserve">0.424 kg * (-2.5 kgCO2e/kg) = -1.06 kgCO2e</w:t>
      </w:r>
    </w:p>
    <w:p>
      <w:pPr>
        <w:numPr>
          <w:ilvl w:val="1"/>
          <w:numId w:val="1015"/>
        </w:numPr>
        <w:pStyle w:val="Compact"/>
      </w:pPr>
      <w:r>
        <w:rPr>
          <w:bCs/>
          <w:b/>
        </w:rPr>
        <w:t xml:space="preserve">Disposed Material Mass:</w:t>
      </w:r>
      <w:r>
        <w:t xml:space="preserve"> </w:t>
      </w:r>
      <w:r>
        <w:t xml:space="preserve">0.53 kg * 0.20 = 0.106 kg</w:t>
      </w:r>
    </w:p>
    <w:p>
      <w:pPr>
        <w:numPr>
          <w:ilvl w:val="1"/>
          <w:numId w:val="1015"/>
        </w:numPr>
        <w:pStyle w:val="Compact"/>
      </w:pPr>
      <w:r>
        <w:rPr>
          <w:bCs/>
          <w:b/>
        </w:rPr>
        <w:t xml:space="preserve">Disposal Emissions:</w:t>
      </w:r>
      <w:r>
        <w:t xml:space="preserve"> </w:t>
      </w:r>
      <w:r>
        <w:t xml:space="preserve">0.106 kg * 0.5 kgCO2e/kg = 0.053 kgCO2e</w:t>
      </w:r>
    </w:p>
    <w:p>
      <w:pPr>
        <w:numPr>
          <w:ilvl w:val="1"/>
          <w:numId w:val="1015"/>
        </w:numPr>
        <w:pStyle w:val="Compact"/>
      </w:pPr>
      <w:r>
        <w:rPr>
          <w:bCs/>
          <w:b/>
        </w:rPr>
        <w:t xml:space="preserve">Net EoL Emissions:</w:t>
      </w:r>
      <w:r>
        <w:t xml:space="preserve"> </w:t>
      </w:r>
      <w:r>
        <w:t xml:space="preserve">-1.06 + 0.053 =</w:t>
      </w:r>
      <w:r>
        <w:t xml:space="preserve"> </w:t>
      </w:r>
      <w:r>
        <w:rPr>
          <w:bCs/>
          <w:b/>
        </w:rPr>
        <w:t xml:space="preserve">-1.007 kgCO2e/unit</w:t>
      </w:r>
      <w:r>
        <w:t xml:space="preserve"> </w:t>
      </w:r>
      <w:r>
        <w:t xml:space="preserve">(a net credit due to high recyclability and circular programs)</w:t>
      </w:r>
    </w:p>
    <w:bookmarkEnd w:id="36"/>
    <w:bookmarkEnd w:id="37"/>
    <w:bookmarkStart w:id="38"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Manufacturing (Direct Fuels)</w:t>
            </w:r>
          </w:p>
        </w:tc>
        <w:tc>
          <w:tcPr/>
          <w:p>
            <w:pPr>
              <w:pStyle w:val="Compact"/>
              <w:jc w:val="left"/>
            </w:pPr>
            <w:r>
              <w:t xml:space="preserve">0.15</w:t>
            </w:r>
          </w:p>
        </w:tc>
        <w:tc>
          <w:tcPr/>
          <w:p>
            <w:pPr>
              <w:pStyle w:val="Compact"/>
              <w:jc w:val="left"/>
            </w:pPr>
            <w:r>
              <w:t xml:space="preserve">1.3%</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0.54</w:t>
            </w:r>
          </w:p>
        </w:tc>
        <w:tc>
          <w:tcPr/>
          <w:p>
            <w:pPr>
              <w:pStyle w:val="Compact"/>
              <w:jc w:val="left"/>
            </w:pPr>
            <w:r>
              <w:t xml:space="preserve">4.7%</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5.42</w:t>
            </w:r>
          </w:p>
        </w:tc>
        <w:tc>
          <w:tcPr/>
          <w:p>
            <w:pPr>
              <w:pStyle w:val="Compact"/>
              <w:jc w:val="left"/>
            </w:pPr>
            <w:r>
              <w:t xml:space="preserve">47.5%</w:t>
            </w:r>
          </w:p>
        </w:tc>
      </w:tr>
      <w:tr>
        <w:tc>
          <w:tcPr>
            <w:gridSpan w:val="1"/>
            <w:vMerge w:val="continue"/>
          </w:tcPr>
          <w:p>
            <w:pPr/>
          </w:p>
        </w:tc>
        <w:tc>
          <w:tcPr/>
          <w:p>
            <w:pPr>
              <w:pStyle w:val="Compact"/>
              <w:jc w:val="left"/>
            </w:pPr>
            <w:r>
              <w:t xml:space="preserve">Transport to Market</w:t>
            </w:r>
          </w:p>
        </w:tc>
        <w:tc>
          <w:tcPr/>
          <w:p>
            <w:pPr>
              <w:pStyle w:val="Compact"/>
              <w:jc w:val="left"/>
            </w:pPr>
            <w:r>
              <w:t xml:space="preserve">0.05</w:t>
            </w:r>
          </w:p>
        </w:tc>
        <w:tc>
          <w:tcPr/>
          <w:p>
            <w:pPr>
              <w:pStyle w:val="Compact"/>
              <w:jc w:val="left"/>
            </w:pPr>
            <w:r>
              <w:t xml:space="preserve">0.4%</w:t>
            </w:r>
          </w:p>
        </w:tc>
      </w:tr>
      <w:tr>
        <w:tc>
          <w:tcPr>
            <w:gridSpan w:val="1"/>
            <w:vMerge w:val="continue"/>
          </w:tcPr>
          <w:p>
            <w:pPr/>
          </w:p>
        </w:tc>
        <w:tc>
          <w:tcPr/>
          <w:p>
            <w:pPr>
              <w:pStyle w:val="Compact"/>
              <w:jc w:val="left"/>
            </w:pPr>
            <w:r>
              <w:t xml:space="preserve">Use Phase</w:t>
            </w:r>
          </w:p>
        </w:tc>
        <w:tc>
          <w:tcPr/>
          <w:p>
            <w:pPr>
              <w:pStyle w:val="Compact"/>
              <w:jc w:val="left"/>
            </w:pPr>
            <w:r>
              <w:t xml:space="preserve">6.25</w:t>
            </w:r>
          </w:p>
        </w:tc>
        <w:tc>
          <w:tcPr/>
          <w:p>
            <w:pPr>
              <w:pStyle w:val="Compact"/>
              <w:jc w:val="left"/>
            </w:pPr>
            <w:r>
              <w:t xml:space="preserve">54.8%</w:t>
            </w:r>
          </w:p>
        </w:tc>
      </w:tr>
      <w:tr>
        <w:tc>
          <w:tcPr>
            <w:gridSpan w:val="1"/>
            <w:vMerge w:val="continue"/>
          </w:tcPr>
          <w:p>
            <w:pPr/>
          </w:p>
        </w:tc>
        <w:tc>
          <w:tcPr/>
          <w:p>
            <w:pPr>
              <w:pStyle w:val="Compact"/>
              <w:jc w:val="left"/>
            </w:pPr>
            <w:r>
              <w:t xml:space="preserve">End-of-Life (Net Credit)</w:t>
            </w:r>
          </w:p>
        </w:tc>
        <w:tc>
          <w:tcPr/>
          <w:p>
            <w:pPr>
              <w:pStyle w:val="Compact"/>
              <w:jc w:val="left"/>
            </w:pPr>
            <w:r>
              <w:t xml:space="preserve">-1.01</w:t>
            </w:r>
          </w:p>
        </w:tc>
        <w:tc>
          <w:tcPr/>
          <w:p>
            <w:pPr>
              <w:pStyle w:val="Compact"/>
              <w:jc w:val="left"/>
            </w:pPr>
            <w:r>
              <w:t xml:space="preserve">-8.8%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11.40</w:t>
            </w:r>
          </w:p>
        </w:tc>
        <w:tc>
          <w:tcPr/>
          <w:p>
            <w:pPr>
              <w:pStyle w:val="Compact"/>
              <w:jc w:val="left"/>
            </w:pPr>
            <w:r>
              <w:rPr>
                <w:bCs/>
                <w:b/>
              </w:rPr>
              <w:t xml:space="preserve">100.0%</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total-product-carbon-footprint-pcf"/>
    <w:p>
      <w:pPr>
        <w:pStyle w:val="Heading3"/>
      </w:pPr>
      <w:r>
        <w:t xml:space="preserve">Total Product Carbon Footprint (PCF)</w:t>
      </w:r>
    </w:p>
    <w:p>
      <w:pPr>
        <w:pStyle w:val="FirstParagraph"/>
      </w:pPr>
      <w:r>
        <w:t xml:space="preserve">The total estimated Product Carbon Footprint for one functional unit of</w:t>
      </w:r>
      <w:r>
        <w:t xml:space="preserve"> </w:t>
      </w:r>
      <w:r>
        <w:rPr>
          <w:bCs/>
          <w:b/>
        </w:rPr>
        <w:t xml:space="preserve">sgqnvhuliu</w:t>
      </w:r>
      <w:r>
        <w:t xml:space="preserve"> </w:t>
      </w:r>
      <w:r>
        <w:t xml:space="preserve">is</w:t>
      </w:r>
      <w:r>
        <w:t xml:space="preserve"> </w:t>
      </w:r>
      <w:r>
        <w:rPr>
          <w:bCs/>
          <w:b/>
        </w:rPr>
        <w:t xml:space="preserve">11.40 kgCO2e</w:t>
      </w:r>
      <w:r>
        <w:t xml:space="preserve">.</w:t>
      </w:r>
    </w:p>
    <w:bookmarkEnd w:id="40"/>
    <w:bookmarkStart w:id="41" w:name="emission-hotspots"/>
    <w:p>
      <w:pPr>
        <w:pStyle w:val="Heading3"/>
      </w:pPr>
      <w:r>
        <w:t xml:space="preserve">Emission Hotspots</w:t>
      </w:r>
    </w:p>
    <w:p>
      <w:pPr>
        <w:pStyle w:val="FirstParagraph"/>
      </w:pPr>
      <w:r>
        <w:t xml:space="preserve">The analysis reveals the following key emission hotspots for</w:t>
      </w:r>
      <w:r>
        <w:t xml:space="preserve"> </w:t>
      </w:r>
      <w:r>
        <w:rPr>
          <w:bCs/>
          <w:b/>
        </w:rPr>
        <w:t xml:space="preserve">sgqnvhuliu</w:t>
      </w:r>
      <w:r>
        <w:t xml:space="preserve">:</w:t>
      </w:r>
    </w:p>
    <w:p>
      <w:pPr>
        <w:numPr>
          <w:ilvl w:val="0"/>
          <w:numId w:val="1016"/>
        </w:numPr>
        <w:pStyle w:val="Compact"/>
      </w:pPr>
      <w:r>
        <w:rPr>
          <w:bCs/>
          <w:b/>
        </w:rPr>
        <w:t xml:space="preserve">Use Phase (54.8%):</w:t>
      </w:r>
      <w:r>
        <w:t xml:space="preserve"> </w:t>
      </w:r>
      <w:r>
        <w:t xml:space="preserve">Energy consumption during the product\'s 4-year lifespan is the largest contributor to the overall PCF. This highlights the importance of energy efficiency for the end-user.</w:t>
      </w:r>
    </w:p>
    <w:p>
      <w:pPr>
        <w:numPr>
          <w:ilvl w:val="0"/>
          <w:numId w:val="1016"/>
        </w:numPr>
        <w:pStyle w:val="Compact"/>
      </w:pPr>
      <w:r>
        <w:rPr>
          <w:bCs/>
          <w:b/>
        </w:rPr>
        <w:t xml:space="preserve">Material Acquisition &amp; Pre-processing (47.5%):</w:t>
      </w:r>
      <w:r>
        <w:t xml:space="preserve"> </w:t>
      </w:r>
      <w:r>
        <w:t xml:space="preserve">The extraction and processing of raw materials, particularly the aluminum casing and PCB, represent the second most significant impact.</w:t>
      </w:r>
    </w:p>
    <w:p>
      <w:pPr>
        <w:numPr>
          <w:ilvl w:val="0"/>
          <w:numId w:val="1016"/>
        </w:numPr>
        <w:pStyle w:val="Compact"/>
      </w:pPr>
      <w:r>
        <w:rPr>
          <w:bCs/>
          <w:b/>
        </w:rPr>
        <w:t xml:space="preserve">Manufacturing (Scope 1 &amp; 2, combined 6.0%):</w:t>
      </w:r>
      <w:r>
        <w:t xml:space="preserve"> </w:t>
      </w:r>
      <w:r>
        <w:t xml:space="preserve">While not the largest, the manufacturing process contributes due to electricity consumption (even with 70% renewable usage) and direct fuel combustion.</w:t>
      </w:r>
    </w:p>
    <w:p>
      <w:pPr>
        <w:numPr>
          <w:ilvl w:val="0"/>
          <w:numId w:val="1016"/>
        </w:numPr>
        <w:pStyle w:val="Compact"/>
      </w:pPr>
      <w:r>
        <w:rPr>
          <w:bCs/>
          <w:b/>
        </w:rPr>
        <w:t xml:space="preserve">End-of-Life (Net Credit of -8.8%):</w:t>
      </w:r>
      <w:r>
        <w:t xml:space="preserve"> </w:t>
      </w:r>
      <w:r>
        <w:t xml:space="preserve">The high recyclability rate (80%) and otxodquxqv\'s take-back programs result in a significant avoided burden, demonstrating the positive impact of circular economy initiatives.</w:t>
      </w:r>
    </w:p>
    <w:bookmarkEnd w:id="41"/>
    <w:bookmarkStart w:id="42" w:name="recommendations-for-reduction"/>
    <w:p>
      <w:pPr>
        <w:pStyle w:val="Heading3"/>
      </w:pPr>
      <w:r>
        <w:t xml:space="preserve">Recommendations for Reduction</w:t>
      </w:r>
    </w:p>
    <w:p>
      <w:pPr>
        <w:numPr>
          <w:ilvl w:val="0"/>
          <w:numId w:val="1017"/>
        </w:numPr>
        <w:pStyle w:val="Compact"/>
      </w:pPr>
      <w:r>
        <w:rPr>
          <w:bCs/>
          <w:b/>
        </w:rPr>
        <w:t xml:space="preserve">Optimize Use Phase Efficiency:</w:t>
      </w:r>
      <w:r>
        <w:t xml:space="preserve"> </w:t>
      </w:r>
      <w:r>
        <w:t xml:space="preserve">Focus on designing sgqnvhuliu for even lower energy consumption during its operational life. Explore smart energy features or longer lifespan designs.</w:t>
      </w:r>
    </w:p>
    <w:p>
      <w:pPr>
        <w:numPr>
          <w:ilvl w:val="0"/>
          <w:numId w:val="1017"/>
        </w:numPr>
        <w:pStyle w:val="Compact"/>
      </w:pPr>
      <w:r>
        <w:rPr>
          <w:bCs/>
          <w:b/>
        </w:rPr>
        <w:t xml:space="preserve">Material Innovation:</w:t>
      </w:r>
      <w:r>
        <w:t xml:space="preserve"> </w:t>
      </w:r>
      <w:r>
        <w:t xml:space="preserve">Investigate alternative, lower-carbon materials for the aluminum casing and PCB, or explore ways to reduce the quantity of high-impact materials.</w:t>
      </w:r>
    </w:p>
    <w:p>
      <w:pPr>
        <w:numPr>
          <w:ilvl w:val="0"/>
          <w:numId w:val="1017"/>
        </w:numPr>
        <w:pStyle w:val="Compact"/>
      </w:pPr>
      <w:r>
        <w:rPr>
          <w:bCs/>
          <w:b/>
        </w:rPr>
        <w:t xml:space="preserve">Supplier Engagement:</w:t>
      </w:r>
      <w:r>
        <w:t xml:space="preserve"> </w:t>
      </w:r>
      <w:r>
        <w:t xml:space="preserve">Collaborate with material suppliers to encourage their adoption of renewable energy and more efficient production processes.</w:t>
      </w:r>
    </w:p>
    <w:p>
      <w:pPr>
        <w:numPr>
          <w:ilvl w:val="0"/>
          <w:numId w:val="1017"/>
        </w:numPr>
        <w:pStyle w:val="Compact"/>
      </w:pPr>
      <w:r>
        <w:rPr>
          <w:bCs/>
          <w:b/>
        </w:rPr>
        <w:t xml:space="preserve">Enhance Circularity:</w:t>
      </w:r>
      <w:r>
        <w:t xml:space="preserve"> </w:t>
      </w:r>
      <w:r>
        <w:t xml:space="preserve">Continue to promote and expand the take-back program and explore design for disassembly to maximize material recovery and recycling rates beyond 80%.</w:t>
      </w:r>
    </w:p>
    <w:p>
      <w:pPr>
        <w:numPr>
          <w:ilvl w:val="0"/>
          <w:numId w:val="1017"/>
        </w:numPr>
        <w:pStyle w:val="Compact"/>
      </w:pPr>
      <w:r>
        <w:rPr>
          <w:bCs/>
          <w:b/>
        </w:rPr>
        <w:t xml:space="preserve">Renewable Energy Expansion:</w:t>
      </w:r>
      <w:r>
        <w:t xml:space="preserve"> </w:t>
      </w:r>
      <w:r>
        <w:t xml:space="preserve">While 70% renewable energy is commendable for manufacturing, aim for 100% renewable energy sourcing at the production facility to further reduce Scope 2 emissions.</w:t>
      </w:r>
    </w:p>
    <w:bookmarkEnd w:id="42"/>
    <w:bookmarkStart w:id="43" w:name="data-reliability-statement"/>
    <w:p>
      <w:pPr>
        <w:pStyle w:val="Heading3"/>
      </w:pPr>
      <w:r>
        <w:t xml:space="preserve">Data Reliability Statement</w:t>
      </w:r>
    </w:p>
    <w:p>
      <w:pPr>
        <w:pStyle w:val="FirstParagraph"/>
      </w:pPr>
      <w:r>
        <w:t xml:space="preserve">This report is based on a combination of primary data provided by</w:t>
      </w:r>
      <w:r>
        <w:t xml:space="preserve"> </w:t>
      </w:r>
      <w:r>
        <w:rPr>
          <w:bCs/>
          <w:b/>
        </w:rPr>
        <w:t xml:space="preserve">otxodquxqv</w:t>
      </w:r>
      <w:r>
        <w:t xml:space="preserve"> </w:t>
      </w:r>
      <w:r>
        <w:t xml:space="preserve">(simulated for demonstration purposes for BOM, transport, energy, and EoL parameters) and secondary, industry-average emission factors. The calculations are performed in accordance with the GHG Protocol. While assumptions were made for generic emission factors and certain placeholder parameters, these were based on typical industry averages and explicitly stated to ensure transparency. The high coverage of Scope 3 emissions (over 95%) enhances the comprehensiveness and reliability of the overall PCF assessment.</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sgqnvhuliu</dc:title>
  <dc:creator/>
  <dc:description>Detailed Product Carbon Footprint (PCF) analysis report for sgqnvhuliu, conducted by vtvjtqszhr using GHG Protocol standards for company otxodquxqv.</dc:description>
  <dc:language>en</dc:language>
  <cp:keywords/>
  <dcterms:created xsi:type="dcterms:W3CDTF">2026-07-15T12:45:53Z</dcterms:created>
  <dcterms:modified xsi:type="dcterms:W3CDTF">2026-07-15T12:45:53Z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