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rhzktryhts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rhzktryhts</w:t>
      </w:r>
    </w:p>
    <w:p>
      <w:pPr>
        <w:pStyle w:val="BodyText"/>
      </w:pPr>
      <w:r>
        <w:rPr>
          <w:bCs/>
          <w:b/>
        </w:rPr>
        <w:t xml:space="preserve">Company Name:</w:t>
      </w:r>
      <w:r>
        <w:t xml:space="preserve"> </w:t>
      </w:r>
      <w:r>
        <w:t xml:space="preserve">zpvpxlvdiz</w:t>
      </w:r>
    </w:p>
    <w:p>
      <w:pPr>
        <w:pStyle w:val="BodyText"/>
      </w:pPr>
      <w:r>
        <w:rPr>
          <w:bCs/>
          <w:b/>
        </w:rPr>
        <w:t xml:space="preserve">Senior Sustainability Consultant:</w:t>
      </w:r>
      <w:r>
        <w:t xml:space="preserve"> </w:t>
      </w:r>
      <w:r>
        <w:t xml:space="preserve">swovtetvwj</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industry-standard emission factors, and the parameters provided. While every effort has been made to ensure accuracy and adherence to the GHG Protocol, actual emissions may vary depending on specific operational details and data precision.</w:t>
      </w:r>
    </w:p>
    <w:p>
      <w:pPr>
        <w:pStyle w:val="BodyText"/>
      </w:pPr>
      <w:r>
        <w:t xml:space="preserve">Date Generated: May 23, 2026</w:t>
      </w:r>
    </w:p>
    <w:bookmarkEnd w:id="20"/>
    <w:p>
      <w:pPr>
        <w:pStyle w:val="BodyText"/>
      </w:pPr>
      <w:r>
        <w:t xml:space="preserve">Product Carbon Footprint Analysis Report - rhzktryhts | zpvpxlvdiz | swovtetvwj</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rhzktryhts</w:t>
      </w:r>
      <w:r>
        <w:t xml:space="preserve">, manufactured by</w:t>
      </w:r>
      <w:r>
        <w:t xml:space="preserve"> </w:t>
      </w:r>
      <w:r>
        <w:rPr>
          <w:bCs/>
          <w:b/>
        </w:rPr>
        <w:t xml:space="preserve">zpvpxlvdiz</w:t>
      </w:r>
      <w:r>
        <w:t xml:space="preserve">. The analysis was conducted by</w:t>
      </w:r>
      <w:r>
        <w:t xml:space="preserve"> </w:t>
      </w:r>
      <w:r>
        <w:rPr>
          <w:bCs/>
          <w:b/>
        </w:rPr>
        <w:t xml:space="preserve">swovtetvwj</w:t>
      </w:r>
      <w:r>
        <w:t xml:space="preserve">, a Senior Sustainability Consultant specializing in GHG Protocol. Adhering to the GHG Protocol\'s Corporate Value Chain (Scope 3) Accounting and Reporting Standard, and incorporating the latest 2026 Land Sector and Removals (LSR) Standard updates, this assessment quantifies greenhouse gas (GHG) emissions across the product\'s entire lifecycle, from raw material extraction to end-of-life. The primary objective is to identify significant emission hotspots and provide actionable insights for carbon reduction strategies.</w:t>
      </w:r>
    </w:p>
    <w:p>
      <w:pPr>
        <w:pStyle w:val="BodyText"/>
      </w:pPr>
      <w:r>
        <w:t xml:space="preserve">The total Product Carbon Footprint for one functional unit of rhzktryhts is calculated to be</w:t>
      </w:r>
      <w:r>
        <w:t xml:space="preserve"> </w:t>
      </w:r>
      <w:r>
        <w:rPr>
          <w:bCs/>
          <w:b/>
        </w:rPr>
        <w:t xml:space="preserve">23.769 kg CO₂e</w:t>
      </w:r>
      <w:r>
        <w:t xml:space="preserve">. The use phase of the product represents the most significant contributor to its overall footprint, followed by the manufacturing process and upstream material production. This report provides a detailed breakdown of emissions by lifecycle stage and GHG Protocol scope.</w:t>
      </w:r>
    </w:p>
    <w:p>
      <w:r>
        <w:pict>
          <v:rect style="width:0;height:1.5pt" o:hralign="center" o:hrstd="t" o:hr="t"/>
        </w:pict>
      </w:r>
    </w:p>
    <w:bookmarkEnd w:id="21"/>
    <w:bookmarkStart w:id="27" w:name="introduction-and-scope-definition"/>
    <w:p>
      <w:pPr>
        <w:pStyle w:val="Heading1"/>
      </w:pPr>
      <w:r>
        <w:t xml:space="preserve">1. Introduction and Scope Definition</w:t>
      </w:r>
    </w:p>
    <w:bookmarkStart w:id="22" w:name="product-definition"/>
    <w:p>
      <w:pPr>
        <w:pStyle w:val="Heading2"/>
      </w:pPr>
      <w:r>
        <w:t xml:space="preserve">1.1 Product Definition</w:t>
      </w:r>
    </w:p>
    <w:p>
      <w:pPr>
        <w:pStyle w:val="FirstParagraph"/>
      </w:pPr>
      <w:r>
        <w:t xml:space="preserve">This analysis focuses on the product</w:t>
      </w:r>
      <w:r>
        <w:t xml:space="preserve"> </w:t>
      </w:r>
      <w:r>
        <w:rPr>
          <w:bCs/>
          <w:b/>
        </w:rPr>
        <w:t xml:space="preserve">rhzktryhts</w:t>
      </w:r>
      <w:r>
        <w:t xml:space="preserve">. The functional unit for this study is defined as</w:t>
      </w:r>
      <w:r>
        <w:t xml:space="preserve"> </w:t>
      </w:r>
      <w:r>
        <w:rPr>
          <w:bCs/>
          <w:b/>
        </w:rPr>
        <w:t xml:space="preserve">1.0 unit</w:t>
      </w:r>
      <w:r>
        <w:t xml:space="preserve"> </w:t>
      </w:r>
      <w:r>
        <w:t xml:space="preserve">of rhzktryhts.</w:t>
      </w:r>
    </w:p>
    <w:bookmarkEnd w:id="22"/>
    <w:bookmarkStart w:id="23" w:name="system-boundary"/>
    <w:p>
      <w:pPr>
        <w:pStyle w:val="Heading2"/>
      </w:pPr>
      <w:r>
        <w:t xml:space="preserve">1.2 System Boundary</w:t>
      </w:r>
    </w:p>
    <w:p>
      <w:pPr>
        <w:pStyle w:val="FirstParagraph"/>
      </w:pPr>
      <w:r>
        <w:t xml:space="preserve">The system boundary for this PCF analysis is "cradle-to-grave" (aligned with a full lifecycle approach), covering all stages from raw material acquisition to end-of-life treatment. However, the immediate reporting boundary for operational emissions is set at</w:t>
      </w:r>
      <w:r>
        <w:t xml:space="preserve"> </w:t>
      </w:r>
      <w:r>
        <w:rPr>
          <w:bCs/>
          <w:b/>
        </w:rPr>
        <w:t xml:space="preserve">factory_gate</w:t>
      </w:r>
      <w:r>
        <w:t xml:space="preserve"> </w:t>
      </w:r>
      <w:r>
        <w:t xml:space="preserve">for direct (Scope 1 and 2) emissions. All other value chain emissions are categorized as Scope 3.</w:t>
      </w:r>
    </w:p>
    <w:bookmarkEnd w:id="23"/>
    <w:bookmarkStart w:id="24" w:name="geographic-scope"/>
    <w:p>
      <w:pPr>
        <w:pStyle w:val="Heading2"/>
      </w:pPr>
      <w:r>
        <w:t xml:space="preserve">1.3 Geographic Scope</w:t>
      </w:r>
    </w:p>
    <w:p>
      <w:pPr>
        <w:pStyle w:val="FirstParagraph"/>
      </w:pPr>
      <w:r>
        <w:t xml:space="preserve">The final production country for rhzktryhts is</w:t>
      </w:r>
      <w:r>
        <w:t xml:space="preserve"> </w:t>
      </w:r>
      <w:r>
        <w:rPr>
          <w:bCs/>
          <w:b/>
        </w:rPr>
        <w:t xml:space="preserve">China</w:t>
      </w:r>
      <w:r>
        <w:t xml:space="preserve">. The supply chain focus is primarily</w:t>
      </w:r>
      <w:r>
        <w:t xml:space="preserve"> </w:t>
      </w:r>
      <w:r>
        <w:rPr>
          <w:bCs/>
          <w:b/>
        </w:rPr>
        <w:t xml:space="preserve">Europe Focused</w:t>
      </w:r>
      <w:r>
        <w:t xml:space="preserve">, indicating that raw materials and distribution networks primarily involve European suppliers and markets, with final assembly in China.</w:t>
      </w:r>
    </w:p>
    <w:bookmarkEnd w:id="24"/>
    <w:bookmarkStart w:id="26" w:name="accounting-standard"/>
    <w:p>
      <w:pPr>
        <w:pStyle w:val="Heading2"/>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w:t>
      </w:r>
      <w:r>
        <w:t xml:space="preserve">(Greenhouse Gas Protocol) standards, specifically the Corporate Accounting and Reporting Standard and the Corporate Value Chain (Scope 3) Accounting and Reporting Standard. This ensures a consistent, transparent, and comprehensive assessment of GHG emissions. Emissions are categorized into Scope 1 (direct emissions), Scope 2 (indirect emissions from purchased energy), and Scope 3 (all other indirect emissions in the value chain).</w:t>
      </w:r>
    </w:p>
    <w:bookmarkStart w:id="25" w:name="Xa60b19918cf51b1beb3186cadc2fa92cf8020e4"/>
    <w:p>
      <w:pPr>
        <w:pStyle w:val="Heading3"/>
      </w:pPr>
      <w:r>
        <w:t xml:space="preserve">1.4.1 2026 GHG Protocol Updates: LSR Standard and Scope 3 Compliance</w:t>
      </w:r>
    </w:p>
    <w:p>
      <w:pPr>
        <w:pStyle w:val="FirstParagraph"/>
      </w:pPr>
      <w:r>
        <w:t xml:space="preserve">In line with the latest developments, this report considers the GHG Protocol\'s Land Sector and Removals (LSR) Standard, released on January 30, 2026, which becomes effective on January 1, 2027. While the core product rhzktryhts (likely an electronic device) may not have significant direct land-use change emissions, the LSR Standard is acknowledged for its relevance to upstream activities, particularly for bio-based materials or land-intensive processes within the supply chain. This standard provides methods to quantify, report, and track land emissions, CO₂ removals, and biogenic products.</w:t>
      </w:r>
    </w:p>
    <w:p>
      <w:pPr>
        <w:pStyle w:val="BodyText"/>
      </w:pPr>
      <w:r>
        <w:t xml:space="preserve">Furthermore, this analysis aims for at least</w:t>
      </w:r>
      <w:r>
        <w:t xml:space="preserve"> </w:t>
      </w:r>
      <w:r>
        <w:rPr>
          <w:bCs/>
          <w:b/>
        </w:rPr>
        <w:t xml:space="preserve">95% coverage for Scope 3 reporting</w:t>
      </w:r>
      <w:r>
        <w:t xml:space="preserve">, as mandated by the proposed 2026 revisions to the GHG Protocol Scope 3 Standard. This prescriptive completeness requirement ensures that nearly all relevant value chain emissions are accounted for, with any exclusions quantified, disclosed, and justified.</w:t>
      </w:r>
    </w:p>
    <w:p>
      <w:r>
        <w:pict>
          <v:rect style="width:0;height:1.5pt" o:hralign="center" o:hrstd="t" o:hr="t"/>
        </w:pict>
      </w:r>
    </w:p>
    <w:bookmarkEnd w:id="25"/>
    <w:bookmarkEnd w:id="26"/>
    <w:bookmarkEnd w:id="27"/>
    <w:bookmarkStart w:id="33" w:name="lifecycle-mapping-and-data-collection"/>
    <w:p>
      <w:pPr>
        <w:pStyle w:val="Heading1"/>
      </w:pPr>
      <w:r>
        <w:t xml:space="preserve">2. Lifecycle Mapping and Data Collection</w:t>
      </w:r>
    </w:p>
    <w:p>
      <w:pPr>
        <w:pStyle w:val="FirstParagraph"/>
      </w:pPr>
      <w:r>
        <w:t xml:space="preserve">The lifecycle of rhzktryhts is mapped into several stages: Material Acquisition, Manufacturing, Transport (Upstream &amp; Downstream), Use Phase, and End-of-Life. Data for these stages were collected from the provided parameters and supplemented with industry-standard emission factors where specific data was not available.</w:t>
      </w:r>
    </w:p>
    <w:bookmarkStart w:id="28" w:name="X276d9685bd240d0b0ada6a84471342b5b10da8e"/>
    <w:p>
      <w:pPr>
        <w:pStyle w:val="Heading2"/>
      </w:pPr>
      <w:r>
        <w:t xml:space="preserve">2.1 Detailed Bill of Materials (BOM) - rurwpfls</w:t>
      </w:r>
    </w:p>
    <w:p>
      <w:pPr>
        <w:pStyle w:val="FirstParagraph"/>
      </w:pPr>
      <w:r>
        <w:t xml:space="preserve">The following table details the materials used in the production of one functional unit of rhzktryhts. Emission factors (EFs) are illustrative and based on industry averages, comparable to those found in databases like Ecoinvent or DEFRA, and sourced from reputable public data where available. The \'Total Carbon\' for each item is calculated as \'Qty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CO₂e/kg or /unit)</w:t>
            </w:r>
          </w:p>
        </w:tc>
        <w:tc>
          <w:tcPr/>
          <w:p>
            <w:pPr>
              <w:pStyle w:val="Compact"/>
              <w:jc w:val="left"/>
            </w:pPr>
            <w:r>
              <w:t xml:space="preserve">Total Carbon (kg CO₂e)</w:t>
            </w:r>
          </w:p>
        </w:tc>
      </w:tr>
      <w:tr>
        <w:tc>
          <w:tcPr/>
          <w:p>
            <w:pPr>
              <w:pStyle w:val="Compact"/>
              <w:jc w:val="left"/>
            </w:pPr>
            <w:r>
              <w:t xml:space="preserve">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002</w:t>
            </w:r>
          </w:p>
        </w:tc>
        <w:tc>
          <w:tcPr/>
          <w:p>
            <w:pPr>
              <w:pStyle w:val="Compact"/>
              <w:jc w:val="left"/>
            </w:pPr>
            <w:r>
              <w:t xml:space="preserve">PCB Board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7.23</w:t>
            </w:r>
          </w:p>
        </w:tc>
        <w:tc>
          <w:tcPr/>
          <w:p>
            <w:pPr>
              <w:pStyle w:val="Compact"/>
              <w:jc w:val="left"/>
            </w:pPr>
            <w:r>
              <w:t xml:space="preserve">0.723</w:t>
            </w:r>
          </w:p>
        </w:tc>
      </w:tr>
      <w:tr>
        <w:tc>
          <w:tcPr/>
          <w:p>
            <w:pPr>
              <w:pStyle w:val="Compact"/>
              <w:jc w:val="left"/>
            </w:pPr>
            <w:r>
              <w:t xml:space="preserve">005</w:t>
            </w:r>
          </w:p>
        </w:tc>
        <w:tc>
          <w:tcPr/>
          <w:p>
            <w:pPr>
              <w:pStyle w:val="Compact"/>
              <w:jc w:val="left"/>
            </w:pPr>
            <w:r>
              <w:t xml:space="preserve">Microcontroller</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0.9</w:t>
            </w:r>
          </w:p>
        </w:tc>
        <w:tc>
          <w:tcPr/>
          <w:p>
            <w:pPr>
              <w:pStyle w:val="Compact"/>
              <w:jc w:val="left"/>
            </w:pPr>
            <w:r>
              <w:t xml:space="preserve">0.09</w:t>
            </w:r>
          </w:p>
        </w:tc>
      </w:tr>
      <w:tr>
        <w:tc>
          <w:tcPr/>
          <w:p>
            <w:pPr>
              <w:pStyle w:val="Compact"/>
              <w:jc w:val="left"/>
            </w:pPr>
            <w:r>
              <w:t xml:space="preserve">007</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0.01</w:t>
            </w:r>
          </w:p>
        </w:tc>
      </w:tr>
      <w:tr>
        <w:tc>
          <w:tcPr>
            <w:gridSpan w:val="7"/>
          </w:tcPr>
          <w:p>
            <w:pPr>
              <w:pStyle w:val="Compact"/>
              <w:jc w:val="right"/>
            </w:pPr>
            <w:r>
              <w:rPr>
                <w:bCs/>
                <w:b/>
              </w:rPr>
              <w:t xml:space="preserve">Total Material Carbon (Upstream)</w:t>
            </w:r>
          </w:p>
        </w:tc>
        <w:tc>
          <w:tcPr/>
          <w:p>
            <w:pPr>
              <w:pStyle w:val="Compact"/>
              <w:jc w:val="left"/>
            </w:pPr>
            <w:r>
              <w:rPr>
                <w:bCs/>
                <w:b/>
              </w:rPr>
              <w:t xml:space="preserve">4.303 kg CO₂e</w:t>
            </w:r>
          </w:p>
        </w:tc>
      </w:tr>
    </w:tbl>
    <w:bookmarkEnd w:id="28"/>
    <w:bookmarkStart w:id="29" w:name="energy-inputs-production-phase"/>
    <w:p>
      <w:pPr>
        <w:pStyle w:val="Heading2"/>
      </w:pPr>
      <w:r>
        <w:t xml:space="preserve">2.2 Energy Inputs (Production Phase)</w:t>
      </w:r>
    </w:p>
    <w:p>
      <w:pPr>
        <w:numPr>
          <w:ilvl w:val="0"/>
          <w:numId w:val="1001"/>
        </w:numPr>
        <w:pStyle w:val="Compact"/>
      </w:pPr>
      <w:r>
        <w:rPr>
          <w:bCs/>
          <w:b/>
        </w:rPr>
        <w:t xml:space="preserve">Energy Intensity (kWh/unit):</w:t>
      </w:r>
      <w:r>
        <w:t xml:space="preserve"> </w:t>
      </w:r>
      <w:r>
        <w:t xml:space="preserve">ijgsqqqxdm (15 kWh/unit)</w:t>
      </w:r>
    </w:p>
    <w:p>
      <w:pPr>
        <w:numPr>
          <w:ilvl w:val="0"/>
          <w:numId w:val="1001"/>
        </w:numPr>
        <w:pStyle w:val="Compact"/>
      </w:pPr>
      <w:r>
        <w:rPr>
          <w:bCs/>
          <w:b/>
        </w:rPr>
        <w:t xml:space="preserve">Renewable Energy Usage:</w:t>
      </w:r>
      <w:r>
        <w:t xml:space="preserve"> </w:t>
      </w:r>
      <w:r>
        <w:t xml:space="preserve">ydwxvumguy (50%)</w:t>
      </w:r>
    </w:p>
    <w:p>
      <w:pPr>
        <w:numPr>
          <w:ilvl w:val="0"/>
          <w:numId w:val="1001"/>
        </w:numPr>
        <w:pStyle w:val="Compact"/>
      </w:pPr>
      <w:r>
        <w:rPr>
          <w:bCs/>
          <w:b/>
        </w:rPr>
        <w:t xml:space="preserve">Grid Electricity Emission Factor (China):</w:t>
      </w:r>
      <w:r>
        <w:t xml:space="preserve"> </w:t>
      </w:r>
      <w:r>
        <w:t xml:space="preserve">0.62 kg CO₂e/kWh</w:t>
      </w:r>
    </w:p>
    <w:p>
      <w:pPr>
        <w:numPr>
          <w:ilvl w:val="0"/>
          <w:numId w:val="1001"/>
        </w:numPr>
        <w:pStyle w:val="Compact"/>
      </w:pPr>
      <w:r>
        <w:rPr>
          <w:bCs/>
          <w:b/>
        </w:rPr>
        <w:t xml:space="preserve">Direct On-site Energy (e.g., natural gas):</w:t>
      </w:r>
      <w:r>
        <w:t xml:space="preserve"> </w:t>
      </w:r>
      <w:r>
        <w:t xml:space="preserve">Assumed minor for this product type, with a placeholder EF.</w:t>
      </w:r>
    </w:p>
    <w:bookmarkEnd w:id="29"/>
    <w:bookmarkStart w:id="30" w:name="transport-logistics-data"/>
    <w:p>
      <w:pPr>
        <w:pStyle w:val="Heading2"/>
      </w:pPr>
      <w:r>
        <w:t xml:space="preserve">2.3 Transport Logistics Data</w:t>
      </w:r>
    </w:p>
    <w:p>
      <w:pPr>
        <w:numPr>
          <w:ilvl w:val="0"/>
          <w:numId w:val="1002"/>
        </w:numPr>
        <w:pStyle w:val="Compact"/>
      </w:pPr>
      <w:r>
        <w:rPr>
          <w:bCs/>
          <w:b/>
        </w:rPr>
        <w:t xml:space="preserve">Upstream/Midstream Transport Mode:</w:t>
      </w:r>
      <w:r>
        <w:t xml:space="preserve"> </w:t>
      </w:r>
      <w:r>
        <w:t xml:space="preserve">Road freight, Lorry &gt; 16t, Euro VI (illustrative for European supply chain to China factory, and within Europe)</w:t>
      </w:r>
    </w:p>
    <w:p>
      <w:pPr>
        <w:numPr>
          <w:ilvl w:val="0"/>
          <w:numId w:val="1002"/>
        </w:numPr>
        <w:pStyle w:val="Compact"/>
      </w:pPr>
      <w:r>
        <w:rPr>
          <w:bCs/>
          <w:b/>
        </w:rPr>
        <w:t xml:space="preserve">Upstream/Midstream Transport Distance:</w:t>
      </w:r>
      <w:r>
        <w:t xml:space="preserve"> </w:t>
      </w:r>
      <w:r>
        <w:t xml:space="preserve">dnuuhivqnr (1500 km for material input to factory, 2000 km for product distribution)</w:t>
      </w:r>
    </w:p>
    <w:p>
      <w:pPr>
        <w:numPr>
          <w:ilvl w:val="0"/>
          <w:numId w:val="1002"/>
        </w:numPr>
        <w:pStyle w:val="Compact"/>
      </w:pPr>
      <w:r>
        <w:rPr>
          <w:bCs/>
          <w:b/>
        </w:rPr>
        <w:t xml:space="preserve">Last-Mile Delivery Channel:</w:t>
      </w:r>
      <w:r>
        <w:t xml:space="preserve"> </w:t>
      </w:r>
      <w:r>
        <w:t xml:space="preserve">Delivery Type (Van delivery)</w:t>
      </w:r>
    </w:p>
    <w:p>
      <w:pPr>
        <w:numPr>
          <w:ilvl w:val="0"/>
          <w:numId w:val="1002"/>
        </w:numPr>
        <w:pStyle w:val="Compact"/>
      </w:pPr>
      <w:r>
        <w:rPr>
          <w:bCs/>
          <w:b/>
        </w:rPr>
        <w:t xml:space="preserve">Last-Mile Delivery Distance:</w:t>
      </w:r>
      <w:r>
        <w:t xml:space="preserve"> </w:t>
      </w:r>
      <w:r>
        <w:t xml:space="preserve">50 km</w:t>
      </w:r>
    </w:p>
    <w:p>
      <w:pPr>
        <w:numPr>
          <w:ilvl w:val="0"/>
          <w:numId w:val="1002"/>
        </w:numPr>
        <w:pStyle w:val="Compact"/>
      </w:pPr>
      <w:r>
        <w:rPr>
          <w:bCs/>
          <w:b/>
        </w:rPr>
        <w:t xml:space="preserve">Transport Emission Factor (Road Freight):</w:t>
      </w:r>
      <w:r>
        <w:t xml:space="preserve"> </w:t>
      </w:r>
      <w:r>
        <w:t xml:space="preserve">0.07 kg CO₂e/tkm (illustrative)</w:t>
      </w:r>
    </w:p>
    <w:p>
      <w:pPr>
        <w:numPr>
          <w:ilvl w:val="0"/>
          <w:numId w:val="1002"/>
        </w:numPr>
        <w:pStyle w:val="Compact"/>
      </w:pPr>
      <w:r>
        <w:rPr>
          <w:bCs/>
          <w:b/>
        </w:rPr>
        <w:t xml:space="preserve">Transport Emission Factor (Van Delivery):</w:t>
      </w:r>
      <w:r>
        <w:t xml:space="preserve"> </w:t>
      </w:r>
      <w:r>
        <w:t xml:space="preserve">0.15 kg CO₂e/tkm (illustrative)</w:t>
      </w:r>
    </w:p>
    <w:bookmarkEnd w:id="30"/>
    <w:bookmarkStart w:id="31" w:name="use-phase-data"/>
    <w:p>
      <w:pPr>
        <w:pStyle w:val="Heading2"/>
      </w:pPr>
      <w:r>
        <w:t xml:space="preserve">2.4 Use Phase Data</w:t>
      </w:r>
    </w:p>
    <w:p>
      <w:pPr>
        <w:numPr>
          <w:ilvl w:val="0"/>
          <w:numId w:val="1003"/>
        </w:numPr>
        <w:pStyle w:val="Compact"/>
      </w:pPr>
      <w:r>
        <w:rPr>
          <w:bCs/>
          <w:b/>
        </w:rPr>
        <w:t xml:space="preserve">Product Lifespan:</w:t>
      </w:r>
      <w:r>
        <w:t xml:space="preserve"> </w:t>
      </w:r>
      <w:r>
        <w:t xml:space="preserve">jnyxzsrjmx (5 years)</w:t>
      </w:r>
    </w:p>
    <w:p>
      <w:pPr>
        <w:numPr>
          <w:ilvl w:val="0"/>
          <w:numId w:val="1003"/>
        </w:numPr>
        <w:pStyle w:val="Compact"/>
      </w:pPr>
      <w:r>
        <w:rPr>
          <w:bCs/>
          <w:b/>
        </w:rPr>
        <w:t xml:space="preserve">Energy Consumption in Use:</w:t>
      </w:r>
      <w:r>
        <w:t xml:space="preserve"> </w:t>
      </w:r>
      <w:r>
        <w:t xml:space="preserve">njvhjesupg (10 kWh/year)</w:t>
      </w:r>
    </w:p>
    <w:p>
      <w:pPr>
        <w:numPr>
          <w:ilvl w:val="0"/>
          <w:numId w:val="1003"/>
        </w:numPr>
        <w:pStyle w:val="Compact"/>
      </w:pPr>
      <w:r>
        <w:rPr>
          <w:bCs/>
          <w:b/>
        </w:rPr>
        <w:t xml:space="preserve">User Electricity Emission Factor (Europe Average):</w:t>
      </w:r>
      <w:r>
        <w:t xml:space="preserve"> </w:t>
      </w:r>
      <w:r>
        <w:t xml:space="preserve">0.3 kg CO₂e/kWh (illustrative)</w:t>
      </w:r>
    </w:p>
    <w:bookmarkEnd w:id="31"/>
    <w:bookmarkStart w:id="32" w:name="end-of-life-eol-scenarios"/>
    <w:p>
      <w:pPr>
        <w:pStyle w:val="Heading2"/>
      </w:pPr>
      <w:r>
        <w:t xml:space="preserve">2.5 End-of-Life (EoL) Scenarios</w:t>
      </w:r>
    </w:p>
    <w:p>
      <w:pPr>
        <w:numPr>
          <w:ilvl w:val="0"/>
          <w:numId w:val="1004"/>
        </w:numPr>
        <w:pStyle w:val="Compact"/>
      </w:pPr>
      <w:r>
        <w:rPr>
          <w:bCs/>
          <w:b/>
        </w:rPr>
        <w:t xml:space="preserve">Recyclability Percentage:</w:t>
      </w:r>
      <w:r>
        <w:t xml:space="preserve"> </w:t>
      </w:r>
      <w:r>
        <w:t xml:space="preserve">xjjgqfmmlm (70%)</w:t>
      </w:r>
    </w:p>
    <w:p>
      <w:pPr>
        <w:numPr>
          <w:ilvl w:val="0"/>
          <w:numId w:val="1004"/>
        </w:numPr>
        <w:pStyle w:val="Compact"/>
      </w:pPr>
      <w:r>
        <w:rPr>
          <w:bCs/>
          <w:b/>
        </w:rPr>
        <w:t xml:space="preserve">Circular/Take-back Programs:</w:t>
      </w:r>
      <w:r>
        <w:t xml:space="preserve"> </w:t>
      </w:r>
      <w:r>
        <w:t xml:space="preserve">emxiuwfujf (Established take-back program)</w:t>
      </w:r>
    </w:p>
    <w:p>
      <w:pPr>
        <w:numPr>
          <w:ilvl w:val="0"/>
          <w:numId w:val="1004"/>
        </w:numPr>
        <w:pStyle w:val="Compact"/>
      </w:pPr>
      <w:r>
        <w:rPr>
          <w:bCs/>
          <w:b/>
        </w:rPr>
        <w:t xml:space="preserve">Avoided Emissions from Recycling (illustrative average):</w:t>
      </w:r>
      <w:r>
        <w:t xml:space="preserve"> </w:t>
      </w:r>
      <w:r>
        <w:t xml:space="preserve">-1.5 kg CO₂e/kg (for plastics/metals)</w:t>
      </w:r>
    </w:p>
    <w:p>
      <w:pPr>
        <w:numPr>
          <w:ilvl w:val="0"/>
          <w:numId w:val="1004"/>
        </w:numPr>
        <w:pStyle w:val="Compact"/>
      </w:pPr>
      <w:r>
        <w:rPr>
          <w:bCs/>
          <w:b/>
        </w:rPr>
        <w:t xml:space="preserve">Emissions from Disposal (Landfill/Incineration, illustrative average):</w:t>
      </w:r>
      <w:r>
        <w:t xml:space="preserve"> </w:t>
      </w:r>
      <w:r>
        <w:t xml:space="preserve">0.5 kg CO₂e/kg (for non-recycled waste)</w:t>
      </w:r>
    </w:p>
    <w:p>
      <w:r>
        <w:pict>
          <v:rect style="width:0;height:1.5pt" o:hralign="center" o:hrstd="t" o:hr="t"/>
        </w:pict>
      </w:r>
    </w:p>
    <w:bookmarkEnd w:id="32"/>
    <w:bookmarkEnd w:id="33"/>
    <w:bookmarkStart w:id="46" w:name="X4eff67be3228dc1408ba045ea13b0013a3b5f0b"/>
    <w:p>
      <w:pPr>
        <w:pStyle w:val="Heading1"/>
      </w:pPr>
      <w:r>
        <w:t xml:space="preserve">3. Emissions Calculation and GHG Protocol Categorization</w:t>
      </w:r>
    </w:p>
    <w:p>
      <w:pPr>
        <w:pStyle w:val="FirstParagraph"/>
      </w:pPr>
      <w:r>
        <w:t xml:space="preserve">Emissions are calculated for each lifecycle stage (Activity Data × Emission Factor = CO₂e) and categorized according to the GHG Protocol\'s Scope 1, Scope 2, and Scope 3 definitions.</w:t>
      </w:r>
    </w:p>
    <w:bookmarkStart w:id="34" w:name="scope-1-emissions-direct-emissions"/>
    <w:p>
      <w:pPr>
        <w:pStyle w:val="Heading2"/>
      </w:pPr>
      <w:r>
        <w:t xml:space="preserve">3.1 Scope 1 Emissions (Direct Emissions)</w:t>
      </w:r>
    </w:p>
    <w:p>
      <w:pPr>
        <w:pStyle w:val="FirstParagraph"/>
      </w:pPr>
      <w:r>
        <w:t xml:space="preserve">Scope 1 emissions are direct GHG emissions from sources owned or controlled by zpvpxlvdiz. For the manufacturing of rhzktryhts, direct on-site fuel combustion is assumed to be minimal.</w:t>
      </w:r>
    </w:p>
    <w:p>
      <w:pPr>
        <w:numPr>
          <w:ilvl w:val="0"/>
          <w:numId w:val="1005"/>
        </w:numPr>
        <w:pStyle w:val="Compact"/>
      </w:pPr>
      <w:r>
        <w:rPr>
          <w:bCs/>
          <w:b/>
        </w:rPr>
        <w:t xml:space="preserve">On-site Fuel Combustion (Manufacturing):</w:t>
      </w:r>
      <w:r>
        <w:t xml:space="preserve"> </w:t>
      </w:r>
      <w:r>
        <w:t xml:space="preserve">0.1 kg CO₂e/unit</w:t>
      </w:r>
    </w:p>
    <w:p>
      <w:pPr>
        <w:pStyle w:val="FirstParagraph"/>
      </w:pPr>
      <w:r>
        <w:rPr>
          <w:bCs/>
          <w:b/>
        </w:rPr>
        <w:t xml:space="preserve">Total Scope 1 Emissions: 0.1 kg CO₂e/unit</w:t>
      </w:r>
    </w:p>
    <w:bookmarkEnd w:id="34"/>
    <w:bookmarkStart w:id="35" w:name="scope-2-emissions-purchased-energy"/>
    <w:p>
      <w:pPr>
        <w:pStyle w:val="Heading2"/>
      </w:pPr>
      <w:r>
        <w:t xml:space="preserve">3.2 Scope 2 Emissions (Purchased Energy)</w:t>
      </w:r>
    </w:p>
    <w:p>
      <w:pPr>
        <w:pStyle w:val="FirstParagraph"/>
      </w:pPr>
      <w:r>
        <w:t xml:space="preserve">Scope 2 emissions are indirect GHG emissions from the generation of purchased electricity, heat, or steam consumed by zpvpxlvdiz.</w:t>
      </w:r>
    </w:p>
    <w:p>
      <w:pPr>
        <w:numPr>
          <w:ilvl w:val="0"/>
          <w:numId w:val="1006"/>
        </w:numPr>
        <w:pStyle w:val="Compact"/>
      </w:pPr>
      <w:r>
        <w:rPr>
          <w:bCs/>
          <w:b/>
        </w:rPr>
        <w:t xml:space="preserve">Energy Intensity:</w:t>
      </w:r>
      <w:r>
        <w:t xml:space="preserve"> </w:t>
      </w:r>
      <w:r>
        <w:t xml:space="preserve">15 kWh/unit</w:t>
      </w:r>
    </w:p>
    <w:p>
      <w:pPr>
        <w:numPr>
          <w:ilvl w:val="0"/>
          <w:numId w:val="1006"/>
        </w:numPr>
        <w:pStyle w:val="Compact"/>
      </w:pPr>
      <w:r>
        <w:rPr>
          <w:bCs/>
          <w:b/>
        </w:rPr>
        <w:t xml:space="preserve">Renewable Energy Usage:</w:t>
      </w:r>
      <w:r>
        <w:t xml:space="preserve"> </w:t>
      </w:r>
      <w:r>
        <w:t xml:space="preserve">50%</w:t>
      </w:r>
    </w:p>
    <w:p>
      <w:pPr>
        <w:numPr>
          <w:ilvl w:val="0"/>
          <w:numId w:val="1006"/>
        </w:numPr>
        <w:pStyle w:val="Compact"/>
      </w:pPr>
      <w:r>
        <w:rPr>
          <w:bCs/>
          <w:b/>
        </w:rPr>
        <w:t xml:space="preserve">Non-renewable Electricity Consumption:</w:t>
      </w:r>
      <w:r>
        <w:t xml:space="preserve"> </w:t>
      </w:r>
      <w:r>
        <w:t xml:space="preserve">15 kWh/unit * (1 - 0.50) = 7.5 kWh/unit</w:t>
      </w:r>
    </w:p>
    <w:p>
      <w:pPr>
        <w:numPr>
          <w:ilvl w:val="0"/>
          <w:numId w:val="1006"/>
        </w:numPr>
        <w:pStyle w:val="Compact"/>
      </w:pPr>
      <w:r>
        <w:rPr>
          <w:bCs/>
          <w:b/>
        </w:rPr>
        <w:t xml:space="preserve">China Grid Emission Factor:</w:t>
      </w:r>
      <w:r>
        <w:t xml:space="preserve"> </w:t>
      </w:r>
      <w:r>
        <w:t xml:space="preserve">0.62 kg CO₂e/kWh</w:t>
      </w:r>
    </w:p>
    <w:p>
      <w:pPr>
        <w:numPr>
          <w:ilvl w:val="0"/>
          <w:numId w:val="1006"/>
        </w:numPr>
        <w:pStyle w:val="Compact"/>
      </w:pPr>
      <w:r>
        <w:rPr>
          <w:bCs/>
          <w:b/>
        </w:rPr>
        <w:t xml:space="preserve">Calculation:</w:t>
      </w:r>
      <w:r>
        <w:t xml:space="preserve"> </w:t>
      </w:r>
      <w:r>
        <w:t xml:space="preserve">7.5 kWh/unit * 0.62 kg CO₂e/kWh = 4.65 kg CO₂e/unit</w:t>
      </w:r>
    </w:p>
    <w:p>
      <w:pPr>
        <w:pStyle w:val="FirstParagraph"/>
      </w:pPr>
      <w:r>
        <w:rPr>
          <w:bCs/>
          <w:b/>
        </w:rPr>
        <w:t xml:space="preserve">Total Scope 2 Emissions: 4.65 kg CO₂e/unit</w:t>
      </w:r>
    </w:p>
    <w:bookmarkEnd w:id="35"/>
    <w:bookmarkStart w:id="44" w:name="scope-3-emissions-value-chain"/>
    <w:p>
      <w:pPr>
        <w:pStyle w:val="Heading2"/>
      </w:pPr>
      <w:r>
        <w:t xml:space="preserve">3.3 Scope 3 Emissions (Value Chain)</w:t>
      </w:r>
    </w:p>
    <w:p>
      <w:pPr>
        <w:pStyle w:val="FirstParagraph"/>
      </w:pPr>
      <w:r>
        <w:t xml:space="preserve">Scope 3 emissions are all other indirect emissions that occur in the value chain of zpvpxlvdiz, both upstream and downstream. These typically represent the largest portion of a product\'s carbon footprint.</w:t>
      </w:r>
    </w:p>
    <w:bookmarkStart w:id="39" w:name="upstream-emissions"/>
    <w:p>
      <w:pPr>
        <w:pStyle w:val="Heading3"/>
      </w:pPr>
      <w:r>
        <w:t xml:space="preserve">3.3.1 Upstream Emissions</w:t>
      </w:r>
    </w:p>
    <w:bookmarkStart w:id="36" w:name="Xab9729a0caae076ca89f2f71668734f92723cf2"/>
    <w:p>
      <w:pPr>
        <w:pStyle w:val="Heading4"/>
      </w:pPr>
      <w:r>
        <w:t xml:space="preserve">Category 1: Purchased Goods and Services (Materials)</w:t>
      </w:r>
    </w:p>
    <w:p>
      <w:pPr>
        <w:pStyle w:val="FirstParagraph"/>
      </w:pPr>
      <w:r>
        <w:t xml:space="preserve">This includes emissions from the extraction, production, and transportation of raw materials and components for rhzktryhts.</w:t>
      </w:r>
    </w:p>
    <w:p>
      <w:pPr>
        <w:numPr>
          <w:ilvl w:val="0"/>
          <w:numId w:val="1007"/>
        </w:numPr>
        <w:pStyle w:val="Compact"/>
      </w:pPr>
      <w:r>
        <w:rPr>
          <w:bCs/>
          <w:b/>
        </w:rPr>
        <w:t xml:space="preserve">Total Material Carbon from BOM:</w:t>
      </w:r>
      <w:r>
        <w:t xml:space="preserve"> </w:t>
      </w:r>
      <w:r>
        <w:t xml:space="preserve">4.303 kg CO₂e/unit</w:t>
      </w:r>
    </w:p>
    <w:bookmarkEnd w:id="36"/>
    <w:bookmarkStart w:id="37" w:name="X6669a43143349c25ec93e775eebde43de53a73c"/>
    <w:p>
      <w:pPr>
        <w:pStyle w:val="Heading4"/>
      </w:pPr>
      <w:r>
        <w:t xml:space="preserve">Category 4: Upstream Transportation and Distribution</w:t>
      </w:r>
    </w:p>
    <w:p>
      <w:pPr>
        <w:pStyle w:val="FirstParagraph"/>
      </w:pPr>
      <w:r>
        <w:t xml:space="preserve">Emissions from transporting raw materials and components from suppliers (primarily Europe-focused supply chain) to the manufacturing facility in China.</w:t>
      </w:r>
    </w:p>
    <w:p>
      <w:pPr>
        <w:numPr>
          <w:ilvl w:val="0"/>
          <w:numId w:val="1008"/>
        </w:numPr>
        <w:pStyle w:val="Compact"/>
      </w:pPr>
      <w:r>
        <w:rPr>
          <w:bCs/>
          <w:b/>
        </w:rPr>
        <w:t xml:space="preserve">Total Material Weight (approx.):</w:t>
      </w:r>
      <w:r>
        <w:t xml:space="preserve"> </w:t>
      </w:r>
      <w:r>
        <w:t xml:space="preserve">0.5 kg/unit</w:t>
      </w:r>
    </w:p>
    <w:p>
      <w:pPr>
        <w:numPr>
          <w:ilvl w:val="0"/>
          <w:numId w:val="1008"/>
        </w:numPr>
        <w:pStyle w:val="Compact"/>
      </w:pPr>
      <w:r>
        <w:rPr>
          <w:bCs/>
          <w:b/>
        </w:rPr>
        <w:t xml:space="preserve">Transport Distance:</w:t>
      </w:r>
      <w:r>
        <w:t xml:space="preserve"> </w:t>
      </w:r>
      <w:r>
        <w:t xml:space="preserve">1500 km</w:t>
      </w:r>
    </w:p>
    <w:p>
      <w:pPr>
        <w:numPr>
          <w:ilvl w:val="0"/>
          <w:numId w:val="1008"/>
        </w:numPr>
        <w:pStyle w:val="Compact"/>
      </w:pPr>
      <w:r>
        <w:rPr>
          <w:bCs/>
          <w:b/>
        </w:rPr>
        <w:t xml:space="preserve">Transport Mode:</w:t>
      </w:r>
      <w:r>
        <w:t xml:space="preserve"> </w:t>
      </w:r>
      <w:r>
        <w:t xml:space="preserve">Road freight, Lorry &gt; 16t, Euro VI</w:t>
      </w:r>
    </w:p>
    <w:p>
      <w:pPr>
        <w:numPr>
          <w:ilvl w:val="0"/>
          <w:numId w:val="1008"/>
        </w:numPr>
        <w:pStyle w:val="Compact"/>
      </w:pPr>
      <w:r>
        <w:rPr>
          <w:bCs/>
          <w:b/>
        </w:rPr>
        <w:t xml:space="preserve">Emission Factor:</w:t>
      </w:r>
      <w:r>
        <w:t xml:space="preserve"> </w:t>
      </w:r>
      <w:r>
        <w:t xml:space="preserve">0.07 kg CO₂e/tkm</w:t>
      </w:r>
    </w:p>
    <w:p>
      <w:pPr>
        <w:numPr>
          <w:ilvl w:val="0"/>
          <w:numId w:val="1008"/>
        </w:numPr>
        <w:pStyle w:val="Compact"/>
      </w:pPr>
      <w:r>
        <w:rPr>
          <w:bCs/>
          <w:b/>
        </w:rPr>
        <w:t xml:space="preserve">Calculation:</w:t>
      </w:r>
      <w:r>
        <w:t xml:space="preserve"> </w:t>
      </w:r>
      <w:r>
        <w:t xml:space="preserve">0.5 kg/unit * 1500 km * (0.07 kg CO₂e / 1000 kg.km) = 0.0525 kg CO₂e/unit</w:t>
      </w:r>
    </w:p>
    <w:bookmarkEnd w:id="37"/>
    <w:bookmarkStart w:id="38" w:name="X041a91fa08cfbac77ccfbbfdbb6b3c1073f9d52"/>
    <w:p>
      <w:pPr>
        <w:pStyle w:val="Heading4"/>
      </w:pPr>
      <w:r>
        <w:t xml:space="preserve">Category 5: Waste Generated in Operations (Manufacturing Waste)</w:t>
      </w:r>
    </w:p>
    <w:p>
      <w:pPr>
        <w:pStyle w:val="FirstParagraph"/>
      </w:pPr>
      <w:r>
        <w:t xml:space="preserve">Emissions from the disposal of waste generated during the manufacturing process.</w:t>
      </w:r>
    </w:p>
    <w:p>
      <w:pPr>
        <w:numPr>
          <w:ilvl w:val="0"/>
          <w:numId w:val="1009"/>
        </w:numPr>
        <w:pStyle w:val="Compact"/>
      </w:pPr>
      <w:r>
        <w:rPr>
          <w:bCs/>
          <w:b/>
        </w:rPr>
        <w:t xml:space="preserve">Assumed Manufacturing Waste:</w:t>
      </w:r>
      <w:r>
        <w:t xml:space="preserve"> </w:t>
      </w:r>
      <w:r>
        <w:t xml:space="preserve">0.05 kg/unit</w:t>
      </w:r>
    </w:p>
    <w:p>
      <w:pPr>
        <w:numPr>
          <w:ilvl w:val="0"/>
          <w:numId w:val="1009"/>
        </w:numPr>
        <w:pStyle w:val="Compact"/>
      </w:pPr>
      <w:r>
        <w:rPr>
          <w:bCs/>
          <w:b/>
        </w:rPr>
        <w:t xml:space="preserve">Disposal Emission Factor:</w:t>
      </w:r>
      <w:r>
        <w:t xml:space="preserve"> </w:t>
      </w:r>
      <w:r>
        <w:t xml:space="preserve">0.5 kg CO₂e/kg (landfill/incineration)</w:t>
      </w:r>
    </w:p>
    <w:p>
      <w:pPr>
        <w:numPr>
          <w:ilvl w:val="0"/>
          <w:numId w:val="1009"/>
        </w:numPr>
        <w:pStyle w:val="Compact"/>
      </w:pPr>
      <w:r>
        <w:rPr>
          <w:bCs/>
          <w:b/>
        </w:rPr>
        <w:t xml:space="preserve">Calculation:</w:t>
      </w:r>
      <w:r>
        <w:t xml:space="preserve"> </w:t>
      </w:r>
      <w:r>
        <w:t xml:space="preserve">0.05 kg/unit * 0.5 kg CO₂e/kg = 0.025 kg CO₂e/unit</w:t>
      </w:r>
    </w:p>
    <w:bookmarkEnd w:id="38"/>
    <w:bookmarkEnd w:id="39"/>
    <w:bookmarkStart w:id="43" w:name="downstream-emissions"/>
    <w:p>
      <w:pPr>
        <w:pStyle w:val="Heading3"/>
      </w:pPr>
      <w:r>
        <w:t xml:space="preserve">3.3.2 Downstream Emissions</w:t>
      </w:r>
    </w:p>
    <w:bookmarkStart w:id="40" w:name="X25a0837e2ca53a982bfb6f58a50970139f4f25f"/>
    <w:p>
      <w:pPr>
        <w:pStyle w:val="Heading4"/>
      </w:pPr>
      <w:r>
        <w:t xml:space="preserve">Category 9: Downstream Transportation and Distribution</w:t>
      </w:r>
    </w:p>
    <w:p>
      <w:pPr>
        <w:pStyle w:val="FirstParagraph"/>
      </w:pPr>
      <w:r>
        <w:t xml:space="preserve">Emissions from transporting the finished product from the manufacturing facility in China to the customer in Europe, including last-mile delivery.</w:t>
      </w:r>
    </w:p>
    <w:p>
      <w:pPr>
        <w:numPr>
          <w:ilvl w:val="0"/>
          <w:numId w:val="1010"/>
        </w:numPr>
        <w:pStyle w:val="Compact"/>
      </w:pPr>
      <w:r>
        <w:rPr>
          <w:bCs/>
          <w:b/>
        </w:rPr>
        <w:t xml:space="preserve">Product Weight for Transport (approx.):</w:t>
      </w:r>
      <w:r>
        <w:t xml:space="preserve"> </w:t>
      </w:r>
      <w:r>
        <w:t xml:space="preserve">0.6 kg/unit (including packaging)</w:t>
      </w:r>
    </w:p>
    <w:p>
      <w:pPr>
        <w:numPr>
          <w:ilvl w:val="0"/>
          <w:numId w:val="1010"/>
        </w:numPr>
        <w:pStyle w:val="Compact"/>
      </w:pPr>
      <w:r>
        <w:rPr>
          <w:bCs/>
          <w:b/>
        </w:rPr>
        <w:t xml:space="preserve">Main Distribution Transport Distance:</w:t>
      </w:r>
      <w:r>
        <w:t xml:space="preserve"> </w:t>
      </w:r>
      <w:r>
        <w:t xml:space="preserve">2000 km (China to Europe, simplified to Road EF)</w:t>
      </w:r>
    </w:p>
    <w:p>
      <w:pPr>
        <w:numPr>
          <w:ilvl w:val="0"/>
          <w:numId w:val="1010"/>
        </w:numPr>
        <w:pStyle w:val="Compact"/>
      </w:pPr>
      <w:r>
        <w:rPr>
          <w:bCs/>
          <w:b/>
        </w:rPr>
        <w:t xml:space="preserve">Main Transport Mode:</w:t>
      </w:r>
      <w:r>
        <w:t xml:space="preserve"> </w:t>
      </w:r>
      <w:r>
        <w:t xml:space="preserve">Road freight, Lorry &gt; 16t, Euro VI</w:t>
      </w:r>
    </w:p>
    <w:p>
      <w:pPr>
        <w:numPr>
          <w:ilvl w:val="0"/>
          <w:numId w:val="1010"/>
        </w:numPr>
        <w:pStyle w:val="Compact"/>
      </w:pPr>
      <w:r>
        <w:rPr>
          <w:bCs/>
          <w:b/>
        </w:rPr>
        <w:t xml:space="preserve">Emission Factor:</w:t>
      </w:r>
      <w:r>
        <w:t xml:space="preserve"> </w:t>
      </w:r>
      <w:r>
        <w:t xml:space="preserve">0.07 kg CO₂e/tkm</w:t>
      </w:r>
    </w:p>
    <w:p>
      <w:pPr>
        <w:numPr>
          <w:ilvl w:val="0"/>
          <w:numId w:val="1010"/>
        </w:numPr>
        <w:pStyle w:val="Compact"/>
      </w:pPr>
      <w:r>
        <w:rPr>
          <w:bCs/>
          <w:b/>
        </w:rPr>
        <w:t xml:space="preserve">Calculation (Main):</w:t>
      </w:r>
      <w:r>
        <w:t xml:space="preserve"> </w:t>
      </w:r>
      <w:r>
        <w:t xml:space="preserve">0.6 kg/unit * 2000 km * (0.07 kg CO₂e / 1000 kg.km) = 0.084 kg CO₂e/unit</w:t>
      </w:r>
    </w:p>
    <w:p>
      <w:pPr>
        <w:numPr>
          <w:ilvl w:val="0"/>
          <w:numId w:val="1010"/>
        </w:numPr>
        <w:pStyle w:val="Compact"/>
      </w:pPr>
      <w:r>
        <w:rPr>
          <w:bCs/>
          <w:b/>
        </w:rPr>
        <w:t xml:space="preserve">Last-Mile Delivery Distance:</w:t>
      </w:r>
      <w:r>
        <w:t xml:space="preserve"> </w:t>
      </w:r>
      <w:r>
        <w:t xml:space="preserve">50 km</w:t>
      </w:r>
    </w:p>
    <w:p>
      <w:pPr>
        <w:numPr>
          <w:ilvl w:val="0"/>
          <w:numId w:val="1010"/>
        </w:numPr>
        <w:pStyle w:val="Compact"/>
      </w:pPr>
      <w:r>
        <w:rPr>
          <w:bCs/>
          <w:b/>
        </w:rPr>
        <w:t xml:space="preserve">Last-Mile Delivery Channel:</w:t>
      </w:r>
      <w:r>
        <w:t xml:space="preserve"> </w:t>
      </w:r>
      <w:r>
        <w:t xml:space="preserve">Van delivery</w:t>
      </w:r>
    </w:p>
    <w:p>
      <w:pPr>
        <w:numPr>
          <w:ilvl w:val="0"/>
          <w:numId w:val="1010"/>
        </w:numPr>
        <w:pStyle w:val="Compact"/>
      </w:pPr>
      <w:r>
        <w:rPr>
          <w:bCs/>
          <w:b/>
        </w:rPr>
        <w:t xml:space="preserve">Emission Factor:</w:t>
      </w:r>
      <w:r>
        <w:t xml:space="preserve"> </w:t>
      </w:r>
      <w:r>
        <w:t xml:space="preserve">0.15 kg CO₂e/tkm</w:t>
      </w:r>
    </w:p>
    <w:p>
      <w:pPr>
        <w:numPr>
          <w:ilvl w:val="0"/>
          <w:numId w:val="1010"/>
        </w:numPr>
        <w:pStyle w:val="Compact"/>
      </w:pPr>
      <w:r>
        <w:rPr>
          <w:bCs/>
          <w:b/>
        </w:rPr>
        <w:t xml:space="preserve">Calculation (Last-Mile):</w:t>
      </w:r>
      <w:r>
        <w:t xml:space="preserve"> </w:t>
      </w:r>
      <w:r>
        <w:t xml:space="preserve">0.6 kg/unit * 50 km * (0.15 kg CO₂e / 1000 kg.km) = 0.0045 kg CO₂e/unit</w:t>
      </w:r>
    </w:p>
    <w:bookmarkEnd w:id="40"/>
    <w:bookmarkStart w:id="41" w:name="category-11-use-of-sold-products"/>
    <w:p>
      <w:pPr>
        <w:pStyle w:val="Heading4"/>
      </w:pPr>
      <w:r>
        <w:t xml:space="preserve">Category 11: Use of Sold Products</w:t>
      </w:r>
    </w:p>
    <w:p>
      <w:pPr>
        <w:pStyle w:val="FirstParagraph"/>
      </w:pPr>
      <w:r>
        <w:t xml:space="preserve">Emissions from the energy consumption of rhzktryhts during its operational lifespan.</w:t>
      </w:r>
    </w:p>
    <w:p>
      <w:pPr>
        <w:numPr>
          <w:ilvl w:val="0"/>
          <w:numId w:val="1011"/>
        </w:numPr>
        <w:pStyle w:val="Compact"/>
      </w:pPr>
      <w:r>
        <w:rPr>
          <w:bCs/>
          <w:b/>
        </w:rPr>
        <w:t xml:space="preserve">Product Lifespan:</w:t>
      </w:r>
      <w:r>
        <w:t xml:space="preserve"> </w:t>
      </w:r>
      <w:r>
        <w:t xml:space="preserve">5 years</w:t>
      </w:r>
    </w:p>
    <w:p>
      <w:pPr>
        <w:numPr>
          <w:ilvl w:val="0"/>
          <w:numId w:val="1011"/>
        </w:numPr>
        <w:pStyle w:val="Compact"/>
      </w:pPr>
      <w:r>
        <w:rPr>
          <w:bCs/>
          <w:b/>
        </w:rPr>
        <w:t xml:space="preserve">Energy Consumption in Use:</w:t>
      </w:r>
      <w:r>
        <w:t xml:space="preserve"> </w:t>
      </w:r>
      <w:r>
        <w:t xml:space="preserve">10 kWh/year</w:t>
      </w:r>
    </w:p>
    <w:p>
      <w:pPr>
        <w:numPr>
          <w:ilvl w:val="0"/>
          <w:numId w:val="1011"/>
        </w:numPr>
        <w:pStyle w:val="Compact"/>
      </w:pPr>
      <w:r>
        <w:rPr>
          <w:bCs/>
          <w:b/>
        </w:rPr>
        <w:t xml:space="preserve">User Electricity Emission Factor (Europe):</w:t>
      </w:r>
      <w:r>
        <w:t xml:space="preserve"> </w:t>
      </w:r>
      <w:r>
        <w:t xml:space="preserve">0.3 kg CO₂e/kWh</w:t>
      </w:r>
    </w:p>
    <w:p>
      <w:pPr>
        <w:numPr>
          <w:ilvl w:val="0"/>
          <w:numId w:val="1011"/>
        </w:numPr>
        <w:pStyle w:val="Compact"/>
      </w:pPr>
      <w:r>
        <w:rPr>
          <w:bCs/>
          <w:b/>
        </w:rPr>
        <w:t xml:space="preserve">Calculation:</w:t>
      </w:r>
      <w:r>
        <w:t xml:space="preserve"> </w:t>
      </w:r>
      <w:r>
        <w:t xml:space="preserve">10 kWh/year * 5 years * 0.3 kg CO₂e/kWh = 15.0 kg CO₂e/unit</w:t>
      </w:r>
    </w:p>
    <w:bookmarkEnd w:id="41"/>
    <w:bookmarkStart w:id="42" w:name="X9f66eef2700632e081dfe139021cb724ffcd2c5"/>
    <w:p>
      <w:pPr>
        <w:pStyle w:val="Heading4"/>
      </w:pPr>
      <w:r>
        <w:t xml:space="preserve">Category 12: End-of-Life Treatment of Sold Products</w:t>
      </w:r>
    </w:p>
    <w:p>
      <w:pPr>
        <w:pStyle w:val="FirstParagraph"/>
      </w:pPr>
      <w:r>
        <w:t xml:space="preserve">Emissions and avoided emissions associated with the disposal and recycling of rhzktryhts at the end of its useful life.</w:t>
      </w:r>
    </w:p>
    <w:p>
      <w:pPr>
        <w:numPr>
          <w:ilvl w:val="0"/>
          <w:numId w:val="1012"/>
        </w:numPr>
        <w:pStyle w:val="Compact"/>
      </w:pPr>
      <w:r>
        <w:rPr>
          <w:bCs/>
          <w:b/>
        </w:rPr>
        <w:t xml:space="preserve">Total Product Mass (excluding packaging):</w:t>
      </w:r>
      <w:r>
        <w:t xml:space="preserve"> </w:t>
      </w:r>
      <w:r>
        <w:t xml:space="preserve">0.5 kg/unit</w:t>
      </w:r>
    </w:p>
    <w:p>
      <w:pPr>
        <w:numPr>
          <w:ilvl w:val="0"/>
          <w:numId w:val="1012"/>
        </w:numPr>
        <w:pStyle w:val="Compact"/>
      </w:pPr>
      <w:r>
        <w:rPr>
          <w:bCs/>
          <w:b/>
        </w:rPr>
        <w:t xml:space="preserve">Recyclability Percentage:</w:t>
      </w:r>
      <w:r>
        <w:t xml:space="preserve"> </w:t>
      </w:r>
      <w:r>
        <w:t xml:space="preserve">70%</w:t>
      </w:r>
    </w:p>
    <w:p>
      <w:pPr>
        <w:numPr>
          <w:ilvl w:val="0"/>
          <w:numId w:val="1012"/>
        </w:numPr>
        <w:pStyle w:val="Compact"/>
      </w:pPr>
      <w:r>
        <w:rPr>
          <w:bCs/>
          <w:b/>
        </w:rPr>
        <w:t xml:space="preserve">Mass Recycled:</w:t>
      </w:r>
      <w:r>
        <w:t xml:space="preserve"> </w:t>
      </w:r>
      <w:r>
        <w:t xml:space="preserve">0.5 kg/unit * 0.70 = 0.35 kg/unit</w:t>
      </w:r>
    </w:p>
    <w:p>
      <w:pPr>
        <w:numPr>
          <w:ilvl w:val="0"/>
          <w:numId w:val="1012"/>
        </w:numPr>
        <w:pStyle w:val="Compact"/>
      </w:pPr>
      <w:r>
        <w:rPr>
          <w:bCs/>
          <w:b/>
        </w:rPr>
        <w:t xml:space="preserve">Mass Disposed:</w:t>
      </w:r>
      <w:r>
        <w:t xml:space="preserve"> </w:t>
      </w:r>
      <w:r>
        <w:t xml:space="preserve">0.5 kg/unit * (1 - 0.70) = 0.15 kg/unit</w:t>
      </w:r>
    </w:p>
    <w:p>
      <w:pPr>
        <w:numPr>
          <w:ilvl w:val="0"/>
          <w:numId w:val="1012"/>
        </w:numPr>
        <w:pStyle w:val="Compact"/>
      </w:pPr>
      <w:r>
        <w:rPr>
          <w:bCs/>
          <w:b/>
        </w:rPr>
        <w:t xml:space="preserve">Avoided Emissions from Recycling:</w:t>
      </w:r>
      <w:r>
        <w:t xml:space="preserve"> </w:t>
      </w:r>
      <w:r>
        <w:t xml:space="preserve">0.35 kg/unit * (-1.5 kg CO₂e/kg) = -0.525 kg CO₂e/unit</w:t>
      </w:r>
    </w:p>
    <w:p>
      <w:pPr>
        <w:numPr>
          <w:ilvl w:val="0"/>
          <w:numId w:val="1012"/>
        </w:numPr>
        <w:pStyle w:val="Compact"/>
      </w:pPr>
      <w:r>
        <w:rPr>
          <w:bCs/>
          <w:b/>
        </w:rPr>
        <w:t xml:space="preserve">Emissions from Disposal:</w:t>
      </w:r>
      <w:r>
        <w:t xml:space="preserve"> </w:t>
      </w:r>
      <w:r>
        <w:t xml:space="preserve">0.15 kg/unit * (0.5 kg CO₂e/kg) = 0.075 kg CO₂e/unit</w:t>
      </w:r>
    </w:p>
    <w:p>
      <w:pPr>
        <w:numPr>
          <w:ilvl w:val="0"/>
          <w:numId w:val="1012"/>
        </w:numPr>
        <w:pStyle w:val="Compact"/>
      </w:pPr>
      <w:r>
        <w:rPr>
          <w:bCs/>
          <w:b/>
        </w:rPr>
        <w:t xml:space="preserve">Net End-of-Life Emissions:</w:t>
      </w:r>
      <w:r>
        <w:t xml:space="preserve"> </w:t>
      </w:r>
      <w:r>
        <w:t xml:space="preserve">-0.525 kg CO₂e + 0.075 kg CO₂e = -0.45 kg CO₂e/unit (Net benefit)</w:t>
      </w:r>
    </w:p>
    <w:p>
      <w:pPr>
        <w:numPr>
          <w:ilvl w:val="0"/>
          <w:numId w:val="1012"/>
        </w:numPr>
        <w:pStyle w:val="Compact"/>
      </w:pPr>
      <w:r>
        <w:rPr>
          <w:bCs/>
          <w:b/>
        </w:rPr>
        <w:t xml:space="preserve">Circular/Take-back Programs:</w:t>
      </w:r>
      <w:r>
        <w:t xml:space="preserve"> </w:t>
      </w:r>
      <w:r>
        <w:t xml:space="preserve">Established take-back program (supports high recyclability).</w:t>
      </w:r>
    </w:p>
    <w:bookmarkEnd w:id="42"/>
    <w:bookmarkEnd w:id="43"/>
    <w:bookmarkEnd w:id="44"/>
    <w:bookmarkStart w:id="45" w:name="summary-of-emissions-by-scope-and-stage"/>
    <w:p>
      <w:pPr>
        <w:pStyle w:val="Heading2"/>
      </w:pPr>
      <w:r>
        <w:t xml:space="preserve">3.4 Summary of Emissions by Scope and Stage</w:t>
      </w:r>
    </w:p>
    <w:p>
      <w:pPr>
        <w:pStyle w:val="FirstParagraph"/>
      </w:pPr>
      <w:r>
        <w:t xml:space="preserve">The table below provides a consolidated view of the calculated emissions for each scope and relevant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CO₂e/unit)</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Manufacturing (Direct On-site)</w:t>
            </w:r>
          </w:p>
        </w:tc>
        <w:tc>
          <w:tcPr/>
          <w:p>
            <w:pPr>
              <w:pStyle w:val="Compact"/>
              <w:jc w:val="left"/>
            </w:pPr>
            <w:r>
              <w:t xml:space="preserve">0.100</w:t>
            </w:r>
          </w:p>
        </w:tc>
        <w:tc>
          <w:tcPr/>
          <w:p>
            <w:pPr>
              <w:pStyle w:val="Compact"/>
              <w:jc w:val="left"/>
            </w:pPr>
            <w:r>
              <w:t xml:space="preserve">Minimal on-site fuel combustion.</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4.650</w:t>
            </w:r>
          </w:p>
        </w:tc>
        <w:tc>
          <w:tcPr/>
          <w:p>
            <w:pPr>
              <w:pStyle w:val="Compact"/>
              <w:jc w:val="left"/>
            </w:pPr>
            <w:r>
              <w:t xml:space="preserve">Based on 50% renewable energy usage and China grid mix.</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4.303</w:t>
            </w:r>
          </w:p>
        </w:tc>
        <w:tc>
          <w:tcPr/>
          <w:p>
            <w:pPr>
              <w:pStyle w:val="Compact"/>
              <w:jc w:val="left"/>
            </w:pPr>
            <w:r>
              <w:t xml:space="preserve">Based on detailed BOM and material emission factors.</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0.0525</w:t>
            </w:r>
          </w:p>
        </w:tc>
        <w:tc>
          <w:tcPr/>
          <w:p>
            <w:pPr>
              <w:pStyle w:val="Compact"/>
              <w:jc w:val="left"/>
            </w:pPr>
            <w:r>
              <w:t xml:space="preserve">Transport of materials to factory.</w:t>
            </w:r>
          </w:p>
        </w:tc>
      </w:tr>
      <w:tr>
        <w:tc>
          <w:tcPr>
            <w:gridSpan w:val="1"/>
            <w:vMerge w:val="continue"/>
          </w:tcPr>
          <w:p>
            <w:pPr/>
          </w:p>
        </w:tc>
        <w:tc>
          <w:tcPr/>
          <w:p>
            <w:pPr>
              <w:pStyle w:val="Compact"/>
              <w:jc w:val="left"/>
            </w:pPr>
            <w:r>
              <w:t xml:space="preserve">Waste Generated in Operations</w:t>
            </w:r>
          </w:p>
        </w:tc>
        <w:tc>
          <w:tcPr/>
          <w:p>
            <w:pPr>
              <w:pStyle w:val="Compact"/>
              <w:jc w:val="left"/>
            </w:pPr>
            <w:r>
              <w:t xml:space="preserve">0.025</w:t>
            </w:r>
          </w:p>
        </w:tc>
        <w:tc>
          <w:tcPr/>
          <w:p>
            <w:pPr>
              <w:pStyle w:val="Compact"/>
              <w:jc w:val="left"/>
            </w:pPr>
            <w:r>
              <w:t xml:space="preserve">Disposal of manufacturing waste.</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0.0885</w:t>
            </w:r>
          </w:p>
        </w:tc>
        <w:tc>
          <w:tcPr/>
          <w:p>
            <w:pPr>
              <w:pStyle w:val="Compact"/>
              <w:jc w:val="left"/>
            </w:pPr>
            <w:r>
              <w:t xml:space="preserve">Transport to customer (main + last-mile).</w:t>
            </w:r>
          </w:p>
        </w:tc>
      </w:tr>
      <w:tr>
        <w:tc>
          <w:tcPr>
            <w:gridSpan w:val="1"/>
            <w:vMerge w:val="continue"/>
          </w:tcPr>
          <w:p>
            <w:pPr/>
          </w:p>
        </w:tc>
        <w:tc>
          <w:tcPr/>
          <w:p>
            <w:pPr>
              <w:pStyle w:val="Compact"/>
              <w:jc w:val="left"/>
            </w:pPr>
            <w:r>
              <w:t xml:space="preserve">Use of Sold Products</w:t>
            </w:r>
          </w:p>
        </w:tc>
        <w:tc>
          <w:tcPr/>
          <w:p>
            <w:pPr>
              <w:pStyle w:val="Compact"/>
              <w:jc w:val="left"/>
            </w:pPr>
            <w:r>
              <w:t xml:space="preserve">15.000</w:t>
            </w:r>
          </w:p>
        </w:tc>
        <w:tc>
          <w:tcPr/>
          <w:p>
            <w:pPr>
              <w:pStyle w:val="Compact"/>
              <w:jc w:val="left"/>
            </w:pPr>
            <w:r>
              <w:t xml:space="preserve">Energy consumption over product lifespan.</w:t>
            </w:r>
          </w:p>
        </w:tc>
      </w:tr>
      <w:tr>
        <w:tc>
          <w:tcPr/>
          <w:p>
            <w:pPr>
              <w:pStyle w:val="Compact"/>
              <w:jc w:val="left"/>
            </w:pPr>
            <w:r>
              <w:t xml:space="preserve">Scope 3 (Benefit)</w:t>
            </w:r>
          </w:p>
        </w:tc>
        <w:tc>
          <w:tcPr/>
          <w:p>
            <w:pPr>
              <w:pStyle w:val="Compact"/>
              <w:jc w:val="left"/>
            </w:pPr>
            <w:r>
              <w:t xml:space="preserve">End-of-Life Treatment of Sold Products</w:t>
            </w:r>
          </w:p>
        </w:tc>
        <w:tc>
          <w:tcPr/>
          <w:p>
            <w:pPr>
              <w:pStyle w:val="Compact"/>
              <w:jc w:val="left"/>
            </w:pPr>
            <w:r>
              <w:t xml:space="preserve">-0.450</w:t>
            </w:r>
          </w:p>
        </w:tc>
        <w:tc>
          <w:tcPr/>
          <w:p>
            <w:pPr>
              <w:pStyle w:val="Compact"/>
              <w:jc w:val="left"/>
            </w:pPr>
            <w:r>
              <w:t xml:space="preserve">Net benefit from high recyclability and take-back program.</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23.769 kg CO₂e/unit</w:t>
            </w:r>
          </w:p>
        </w:tc>
      </w:tr>
    </w:tbl>
    <w:p>
      <w:r>
        <w:pict>
          <v:rect style="width:0;height:1.5pt" o:hralign="center" o:hrstd="t" o:hr="t"/>
        </w:pict>
      </w:r>
    </w:p>
    <w:bookmarkEnd w:id="45"/>
    <w:bookmarkEnd w:id="46"/>
    <w:bookmarkStart w:id="51" w:name="review-and-reporting"/>
    <w:p>
      <w:pPr>
        <w:pStyle w:val="Heading1"/>
      </w:pPr>
      <w:r>
        <w:t xml:space="preserve">4. Review and Reporting</w:t>
      </w:r>
    </w:p>
    <w:bookmarkStart w:id="47" w:name="emission-hotspots"/>
    <w:p>
      <w:pPr>
        <w:pStyle w:val="Heading2"/>
      </w:pPr>
      <w:r>
        <w:t xml:space="preserve">4.1 Emission Hotspots</w:t>
      </w:r>
    </w:p>
    <w:p>
      <w:pPr>
        <w:pStyle w:val="FirstParagraph"/>
      </w:pPr>
      <w:r>
        <w:t xml:space="preserve">The analysis reveals the following major emission hotspots for rhzktryhts:</w:t>
      </w:r>
    </w:p>
    <w:p>
      <w:pPr>
        <w:numPr>
          <w:ilvl w:val="0"/>
          <w:numId w:val="1013"/>
        </w:numPr>
        <w:pStyle w:val="Compact"/>
      </w:pPr>
      <w:r>
        <w:rPr>
          <w:bCs/>
          <w:b/>
        </w:rPr>
        <w:t xml:space="preserve">Use Phase (15.0 kg CO₂e/unit):</w:t>
      </w:r>
      <w:r>
        <w:t xml:space="preserve"> </w:t>
      </w:r>
      <w:r>
        <w:t xml:space="preserve">This constitutes the largest portion of the PCF, primarily due to the energy consumption of the product over its 5-year lifespan. This suggests that improvements in energy efficiency during product operation would yield the most significant reductions.</w:t>
      </w:r>
    </w:p>
    <w:p>
      <w:pPr>
        <w:numPr>
          <w:ilvl w:val="0"/>
          <w:numId w:val="1013"/>
        </w:numPr>
        <w:pStyle w:val="Compact"/>
      </w:pPr>
      <w:r>
        <w:rPr>
          <w:bCs/>
          <w:b/>
        </w:rPr>
        <w:t xml:space="preserve">Manufacturing (Scope 2 - 4.65 kg CO₂e/unit):</w:t>
      </w:r>
      <w:r>
        <w:t xml:space="preserve"> </w:t>
      </w:r>
      <w:r>
        <w:t xml:space="preserve">Purchased electricity for production in China, despite 50% renewable energy usage, is a significant contributor due to the carbon intensity of the remaining grid mix. Increasing renewable energy procurement or improving energy efficiency in production are key leverage points.</w:t>
      </w:r>
    </w:p>
    <w:p>
      <w:pPr>
        <w:numPr>
          <w:ilvl w:val="0"/>
          <w:numId w:val="1013"/>
        </w:numPr>
        <w:pStyle w:val="Compact"/>
      </w:pPr>
      <w:r>
        <w:rPr>
          <w:bCs/>
          <w:b/>
        </w:rPr>
        <w:t xml:space="preserve">Purchased Goods &amp; Services (Materials - 4.303 kg CO₂e/unit):</w:t>
      </w:r>
      <w:r>
        <w:t xml:space="preserve"> </w:t>
      </w:r>
      <w:r>
        <w:t xml:space="preserve">The impact of raw materials, particularly the Lithium-ion battery and Microcontroller, contributes substantially to the upstream footprint. Exploring lower-carbon alternative materials or engaging with suppliers on their decarbonization efforts is crucial.</w:t>
      </w:r>
    </w:p>
    <w:bookmarkEnd w:id="47"/>
    <w:bookmarkStart w:id="48" w:name="data-reliability-and-limitations"/>
    <w:p>
      <w:pPr>
        <w:pStyle w:val="Heading2"/>
      </w:pPr>
      <w:r>
        <w:t xml:space="preserve">4.2 Data Reliability and Limitations</w:t>
      </w:r>
    </w:p>
    <w:p>
      <w:pPr>
        <w:pStyle w:val="FirstParagraph"/>
      </w:pPr>
      <w:r>
        <w:t xml:space="preserve">The calculations in this report are based on a combination of specific parameters provided and illustrative, industry-average emission factors. While these factors are drawn from reputable sources, they may not always precisely reflect the actual, supplier-specific data for every component or process. The reliance on placeholder values for certain parameters (e.g., `rurwpfls`, `dnuuhivqnr`, `Select Mode`, `Delivery Type`) means that precise, primary data would enhance the accuracy of a real-world assessment.</w:t>
      </w:r>
    </w:p>
    <w:p>
      <w:pPr>
        <w:pStyle w:val="BodyText"/>
      </w:pPr>
      <w:r>
        <w:t xml:space="preserve">The 95% Scope 3 coverage target, as per 2026 GHG Protocol requirements, has been considered by including all major upstream and downstream categories relevant to this product. However, a comprehensive real-world assessment would require detailed primary data collection from all significant value chain partners to confirm this coverage rigorously.</w:t>
      </w:r>
    </w:p>
    <w:bookmarkEnd w:id="48"/>
    <w:bookmarkStart w:id="50" w:name="recommendations"/>
    <w:p>
      <w:pPr>
        <w:pStyle w:val="Heading2"/>
      </w:pPr>
      <w:r>
        <w:t xml:space="preserve">4.3 Recommendations</w:t>
      </w:r>
    </w:p>
    <w:p>
      <w:pPr>
        <w:pStyle w:val="FirstParagraph"/>
      </w:pPr>
      <w:r>
        <w:t xml:space="preserve">Based on this analysis, zpvpxlvdiz should consider the following strategies to reduce the carbon footprint of rhzktryhts:</w:t>
      </w:r>
    </w:p>
    <w:p>
      <w:pPr>
        <w:numPr>
          <w:ilvl w:val="0"/>
          <w:numId w:val="1014"/>
        </w:numPr>
        <w:pStyle w:val="Compact"/>
      </w:pPr>
      <w:r>
        <w:rPr>
          <w:bCs/>
          <w:b/>
        </w:rPr>
        <w:t xml:space="preserve">Enhance Use Phase Efficiency:</w:t>
      </w:r>
      <w:r>
        <w:t xml:space="preserve"> </w:t>
      </w:r>
      <w:r>
        <w:t xml:space="preserve">Invest in R&amp;D to significantly reduce the product\'s energy consumption during its use phase. This could involve more efficient components, smart energy management features, or longer product lifespans with optimized energy profiles.</w:t>
      </w:r>
    </w:p>
    <w:p>
      <w:pPr>
        <w:numPr>
          <w:ilvl w:val="0"/>
          <w:numId w:val="1014"/>
        </w:numPr>
        <w:pStyle w:val="Compact"/>
      </w:pPr>
      <w:r>
        <w:rPr>
          <w:bCs/>
          <w:b/>
        </w:rPr>
        <w:t xml:space="preserve">Decarbonize Manufacturing Operations:</w:t>
      </w:r>
      <w:r>
        <w:t xml:space="preserve"> </w:t>
      </w:r>
      <w:r>
        <w:t xml:space="preserve">Increase the percentage of renewable energy used in the Chinese manufacturing facility beyond 50%, or consider sourcing from regions with cleaner electricity grids. Implement energy efficiency measures across all production processes.</w:t>
      </w:r>
    </w:p>
    <w:p>
      <w:pPr>
        <w:numPr>
          <w:ilvl w:val="0"/>
          <w:numId w:val="1014"/>
        </w:numPr>
        <w:pStyle w:val="Compact"/>
      </w:pPr>
      <w:r>
        <w:rPr>
          <w:bCs/>
          <w:b/>
        </w:rPr>
        <w:t xml:space="preserve">Engage Supply Chain for Material Decarbonization:</w:t>
      </w:r>
      <w:r>
        <w:t xml:space="preserve"> </w:t>
      </w:r>
      <w:r>
        <w:t xml:space="preserve">Collaborate with key material suppliers (especially for batteries, microcontrollers, and plastics) to source lower-carbon alternatives or encourage them to reduce their own production emissions.</w:t>
      </w:r>
    </w:p>
    <w:p>
      <w:pPr>
        <w:numPr>
          <w:ilvl w:val="0"/>
          <w:numId w:val="1014"/>
        </w:numPr>
        <w:pStyle w:val="Compact"/>
      </w:pPr>
      <w:r>
        <w:rPr>
          <w:bCs/>
          <w:b/>
        </w:rPr>
        <w:t xml:space="preserve">Strengthen Circularity:</w:t>
      </w:r>
      <w:r>
        <w:t xml:space="preserve"> </w:t>
      </w:r>
      <w:r>
        <w:t xml:space="preserve">Leverage the established take-back program to maximize the actual recycling and reuse rates of end-of-life products, potentially exploring material passports or advanced recycling technologies. Continue to explore design-for-disassembly and modularity.</w:t>
      </w:r>
    </w:p>
    <w:p>
      <w:pPr>
        <w:numPr>
          <w:ilvl w:val="0"/>
          <w:numId w:val="1014"/>
        </w:numPr>
        <w:pStyle w:val="Compact"/>
      </w:pPr>
      <w:r>
        <w:rPr>
          <w:bCs/>
          <w:b/>
        </w:rPr>
        <w:t xml:space="preserve">Data Collection Improvement:</w:t>
      </w:r>
      <w:r>
        <w:t xml:space="preserve"> </w:t>
      </w:r>
      <w:r>
        <w:t xml:space="preserve">Prioritize collecting primary data from critical suppliers for high-impact components and processes to refine the accuracy of future PCF assessments and ensure full 2026 Scope 3 compliance.</w:t>
      </w:r>
    </w:p>
    <w:p>
      <w:r>
        <w:pict>
          <v:rect style="width:0;height:1.5pt" o:hralign="center" o:hrstd="t" o:hr="t"/>
        </w:pict>
      </w:r>
    </w:p>
    <w:p>
      <w:pPr>
        <w:pStyle w:val="FirstParagraph"/>
      </w:pPr>
      <w:r>
        <w:t xml:space="preserve">Confidential - Internal Use Only | Page</w:t>
      </w:r>
      <w:r>
        <w:t xml:space="preserve"> </w:t>
      </w:r>
      <w:bookmarkStart w:id="49" w:name="pageNumber"/>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rhzktryhts</dc:title>
  <dc:creator/>
  <dc:description>High-detail Product Carbon Footprint (PCF) analysis for rhzktryhts, adhering to GHG Protocol standards and 2026 updates, performed by Senior Sustainability Consultant swovtetvwj for zpvpxlvdiz.</dc:description>
  <dc:language>en</dc:language>
  <cp:keywords/>
  <dcterms:created xsi:type="dcterms:W3CDTF">2026-07-15T05:32:17Z</dcterms:created>
  <dcterms:modified xsi:type="dcterms:W3CDTF">2026-07-15T05:32:17Z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