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rejyirloyp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rejyirloyp</w:t>
      </w:r>
    </w:p>
    <w:p>
      <w:pPr>
        <w:pStyle w:val="BodyText"/>
      </w:pPr>
      <w:r>
        <w:rPr>
          <w:bCs/>
          <w:b/>
        </w:rPr>
        <w:t xml:space="preserve">Company:</w:t>
      </w:r>
      <w:r>
        <w:t xml:space="preserve"> </w:t>
      </w:r>
      <w:r>
        <w:t xml:space="preserve">zlzwvuwssu</w:t>
      </w:r>
    </w:p>
    <w:p>
      <w:pPr>
        <w:pStyle w:val="BodyText"/>
      </w:pPr>
      <w:r>
        <w:rPr>
          <w:bCs/>
          <w:b/>
        </w:rPr>
        <w:t xml:space="preserve">Senior Sustainability Consultant:</w:t>
      </w:r>
      <w:r>
        <w:t xml:space="preserve"> </w:t>
      </w:r>
      <w:r>
        <w:t xml:space="preserve">kufvilnzom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intended for internal use and strategic planning.</w:t>
      </w:r>
    </w:p>
    <w:bookmarkEnd w:id="20"/>
    <w:bookmarkStart w:id="21" w:name="Xaffe02b1ce267b7c00690009dd48f163176de56"/>
    <w:p>
      <w:pPr>
        <w:pStyle w:val="Heading1"/>
      </w:pPr>
      <w:r>
        <w:t xml:space="preserve">Product Carbon Footprint (PCF) Analysis for rejyirloyp</w:t>
      </w:r>
    </w:p>
    <w:p>
      <w:pPr>
        <w:pStyle w:val="FirstParagraph"/>
      </w:pPr>
      <w:r>
        <w:rPr>
          <w:bCs/>
          <w:b/>
        </w:rPr>
        <w:t xml:space="preserve">Generated Date:</w:t>
      </w:r>
      <w:r>
        <w:t xml:space="preserve"> </w:t>
      </w:r>
      <w:r>
        <w:t xml:space="preserve">June 3, 2026</w:t>
      </w:r>
    </w:p>
    <w:p>
      <w:pPr>
        <w:pStyle w:val="BodyText"/>
      </w:pPr>
      <w:r>
        <w:rPr>
          <w:bCs/>
          <w:b/>
        </w:rPr>
        <w:t xml:space="preserve">Prepared by:</w:t>
      </w:r>
      <w:r>
        <w:t xml:space="preserve"> </w:t>
      </w:r>
      <w:r>
        <w:t xml:space="preserve">kufvilnzom, Senior Sustainability Consultant</w:t>
      </w:r>
    </w:p>
    <w:p>
      <w:pPr>
        <w:pStyle w:val="BodyText"/>
      </w:pPr>
      <w:r>
        <w:rPr>
          <w:bCs/>
          <w:b/>
        </w:rPr>
        <w:t xml:space="preserve">Company:</w:t>
      </w:r>
      <w:r>
        <w:t xml:space="preserve"> </w:t>
      </w:r>
      <w:r>
        <w:t xml:space="preserve">zlzwvuwssu</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"rejyirloyp" manufactured by zlzwvuwssu. Conducted by kufvilnzom, a Senior Sustainability Consultant specializing in GHG Protocol, this analysis quantifies the greenhouse gas (GHG) emissions associated with the product\'s entire lifecycle. Adhering to the GHG Protocol and incorporating the 2026 Land Sector and Removals (LSR) Standard, this assessment provides a comprehensive overview of emissions across Scope 1, Scope 2, and Scope 3, with a strong focus on achieving over 95% Scope 3 coverage. The findings aim to identify carbon hotspots and inform strategies for emission reduction and enhanced circularity.</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rejyirloyp follows the comprehensive methodology prescribed by the GHG Protocol. This systematic approach ensures a robust and transparent assessment of all relevant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rejyirloyp</w:t>
      </w:r>
      <w:r>
        <w:t xml:space="preserve">. This unit serves as the reference basis for all quantified environmental impacts, allowing for consistent comparisons and calculations.</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This \'cradle-to-gate\' approach encompasses all activities from the extraction of raw materials, through their processing, manufacturing of components, and final assembly at the factory gate, including outbound logistics up to the point of distribution. However, given the requirement for a high-detail analysis including use and end-of-life, the analysis will extend beyond the strict \'factory_gate\' definition to include these crucial downstream stages for a more holistic \'cradle-to-grave\' understanding, while maintaining the primary focus on the factory gate for initial production impact.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specifies the location of the primary manufacturing processes for rejyirloyp.</w:t>
      </w:r>
    </w:p>
    <w:p>
      <w:pPr>
        <w:numPr>
          <w:ilvl w:val="0"/>
          <w:numId w:val="1003"/>
        </w:numPr>
        <w:pStyle w:val="Compact"/>
      </w:pPr>
      <w:r>
        <w:rPr>
          <w:bCs/>
          <w:b/>
        </w:rPr>
        <w:t xml:space="preserve">Supply Chain Focus:</w:t>
      </w:r>
      <w:r>
        <w:t xml:space="preserve"> </w:t>
      </w:r>
      <w:r>
        <w:t xml:space="preserve">Europe Focused. This indicates that efforts were made to gather specific data and apply relevant emission factors pertaining to the supply chain within Europe, where applicable, for raw material sourcing and component manufacturing.</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4"/>
        </w:numPr>
        <w:pStyle w:val="Compact"/>
      </w:pPr>
      <w:r>
        <w:t xml:space="preserve">The analysis also incorporates the principles of the</w:t>
      </w:r>
      <w:r>
        <w:t xml:space="preserve"> </w:t>
      </w:r>
      <w:r>
        <w:rPr>
          <w:bCs/>
          <w:b/>
        </w:rPr>
        <w:t xml:space="preserve">2026 Land Sector and Removals (LSR) Standard</w:t>
      </w:r>
      <w:r>
        <w:t xml:space="preserve"> </w:t>
      </w:r>
      <w:r>
        <w:t xml:space="preserve">for relevant land use and carbon removal considerations, ensuring alignment with the latest guidance.</w:t>
      </w:r>
    </w:p>
    <w:p>
      <w:pPr>
        <w:numPr>
          <w:ilvl w:val="0"/>
          <w:numId w:val="1004"/>
        </w:numPr>
        <w:pStyle w:val="Compact"/>
      </w:pPr>
      <w:r>
        <w:t xml:space="preserve">A key compliance target is to ensure at least</w:t>
      </w:r>
      <w:r>
        <w:t xml:space="preserve"> </w:t>
      </w:r>
      <w:r>
        <w:rPr>
          <w:bCs/>
          <w:b/>
        </w:rPr>
        <w:t xml:space="preserve">95% coverage for Scope 3</w:t>
      </w:r>
      <w:r>
        <w:t xml:space="preserve"> </w:t>
      </w:r>
      <w:r>
        <w:t xml:space="preserve">reporting, in line with 2026 requirements, providing a comprehensive view of value chain emissions.</w:t>
      </w:r>
    </w:p>
    <w:p>
      <w:r>
        <w:pict>
          <v:rect style="width:0;height:1.5pt" o:hralign="center" o:hrstd="t" o:hr="t"/>
        </w:pict>
      </w:r>
    </w:p>
    <w:bookmarkEnd w:id="26"/>
    <w:bookmarkEnd w:id="27"/>
    <w:bookmarkStart w:id="34" w:name="Xd9a70c659bfcd295e1cdb6c2eb7ab1139a4e8cf"/>
    <w:p>
      <w:pPr>
        <w:pStyle w:val="Heading2"/>
      </w:pPr>
      <w:r>
        <w:t xml:space="preserve">2. Lifecycle Mapping and Data Collection (LCI Inventory Stages)</w:t>
      </w:r>
    </w:p>
    <w:p>
      <w:pPr>
        <w:pStyle w:val="FirstParagraph"/>
      </w:pPr>
      <w:r>
        <w:t xml:space="preserve">This section details the lifecycle stages considered for rejyirloyp and outlines the data collection approach, emphasizing the importance of specific inputs over generic estimates where possible.</w:t>
      </w:r>
    </w:p>
    <w:bookmarkStart w:id="29" w:name="material-inputs-bill-of-materials---bom"/>
    <w:p>
      <w:pPr>
        <w:pStyle w:val="Heading3"/>
      </w:pPr>
      <w:r>
        <w:t xml:space="preserve">2.1. Material Inputs (Bill of Materials - BOM)</w:t>
      </w:r>
    </w:p>
    <w:p>
      <w:pPr>
        <w:pStyle w:val="FirstParagraph"/>
      </w:pPr>
      <w:r>
        <w:t xml:space="preserve">The detailed Bill of Materials (BOM) for rejyirloyp, identified as</w:t>
      </w:r>
      <w:r>
        <w:t xml:space="preserve"> </w:t>
      </w:r>
      <w:r>
        <w:rPr>
          <w:bCs/>
          <w:b/>
        </w:rPr>
        <w:t xml:space="preserve">qpqunnfo</w:t>
      </w:r>
      <w:r>
        <w:t xml:space="preserve">, is critical for high-accuracy material impact calculation. Due to the format of the provided parameter \'qpqunnfo\' as a string without internal structured data, illustrative material data conforming to the specified format (ID, Description, Category, Process, Qty, Unit, Emission Factor, Total Carbon) has been used for demonstration purposes in this report. In a live scenario, the actual parsed data from the BOM would be utilized.</w:t>
      </w:r>
    </w:p>
    <w:bookmarkStart w:id="28" w:name="Xedac6eaaa0852f08eaa403017199f078e825c0f"/>
    <w:p>
      <w:pPr>
        <w:pStyle w:val="Heading4"/>
      </w:pPr>
      <w:r>
        <w:t xml:space="preserve">Illustrative Bill of Materials (BOM) for rejyirloyp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Electronics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Fasteners (Mixed Metal)</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r>
        <w:tc>
          <w:tcPr/>
          <w:p>
            <w:pPr>
              <w:pStyle w:val="Compact"/>
              <w:jc w:val="left"/>
            </w:pPr>
            <w:r>
              <w:t xml:space="preserve">M-006</w:t>
            </w:r>
          </w:p>
        </w:tc>
        <w:tc>
          <w:tcPr/>
          <w:p>
            <w:pPr>
              <w:pStyle w:val="Compact"/>
              <w:jc w:val="left"/>
            </w:pPr>
            <w:r>
              <w:t xml:space="preserve">Cables and Wiring</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gridSpan w:val="7"/>
          </w:tcPr>
          <w:p>
            <w:pPr>
              <w:pStyle w:val="Compact"/>
              <w:jc w:val="left"/>
            </w:pPr>
            <w:r>
              <w:rPr>
                <w:bCs/>
                <w:b/>
              </w:rPr>
              <w:t xml:space="preserve">Total Material Carbon Impact</w:t>
            </w:r>
          </w:p>
        </w:tc>
        <w:tc>
          <w:tcPr/>
          <w:p>
            <w:pPr>
              <w:pStyle w:val="Compact"/>
              <w:jc w:val="left"/>
            </w:pPr>
            <w:r>
              <w:rPr>
                <w:bCs/>
                <w:b/>
              </w:rPr>
              <w:t xml:space="preserve">3.53</w:t>
            </w:r>
          </w:p>
        </w:tc>
      </w:tr>
    </w:tbl>
    <w:p>
      <w:pPr>
        <w:pStyle w:val="BodyText"/>
      </w:pPr>
      <w:r>
        <w:rPr>
          <w:iCs/>
          <w:i/>
        </w:rPr>
        <w:t xml:space="preserve">Note: Emission factors are illustrative and representative of industry averages (e.g., Ecoinvent/DEFRA), applied to the quantity of each material. The "Total Carbon" for each item is derived from "Qty * Emission Factor".</w:t>
      </w:r>
    </w:p>
    <w:bookmarkEnd w:id="28"/>
    <w:bookmarkEnd w:id="29"/>
    <w:bookmarkStart w:id="30" w:name="energy-inputs-production-phase"/>
    <w:p>
      <w:pPr>
        <w:pStyle w:val="Heading3"/>
      </w:pPr>
      <w:r>
        <w:t xml:space="preserve">2.2. Energy Inputs (Production Phase)</w:t>
      </w:r>
    </w:p>
    <w:p>
      <w:pPr>
        <w:pStyle w:val="FirstParagraph"/>
      </w:pPr>
      <w:r>
        <w:t xml:space="preserve">Customized energy data for the production phase has been incorporated:</w:t>
      </w:r>
    </w:p>
    <w:p>
      <w:pPr>
        <w:numPr>
          <w:ilvl w:val="0"/>
          <w:numId w:val="1005"/>
        </w:numPr>
        <w:pStyle w:val="Compact"/>
      </w:pPr>
      <w:r>
        <w:rPr>
          <w:bCs/>
          <w:b/>
        </w:rPr>
        <w:t xml:space="preserve">Renewable Energy Usage:</w:t>
      </w:r>
      <w:r>
        <w:t xml:space="preserve"> </w:t>
      </w:r>
      <w:r>
        <w:t xml:space="preserve">The facility utilizes</w:t>
      </w:r>
      <w:r>
        <w:t xml:space="preserve"> </w:t>
      </w:r>
      <w:r>
        <w:rPr>
          <w:bCs/>
          <w:b/>
        </w:rPr>
        <w:t xml:space="preserve">pkuwukhuwy</w:t>
      </w:r>
      <w:r>
        <w:t xml:space="preserve"> </w:t>
      </w:r>
      <w:r>
        <w:t xml:space="preserve">(assumed 75% for calculation purposes). This signifies the percentage of renewable energy sourced for manufacturing operations.</w:t>
      </w:r>
    </w:p>
    <w:p>
      <w:pPr>
        <w:numPr>
          <w:ilvl w:val="0"/>
          <w:numId w:val="1005"/>
        </w:numPr>
        <w:pStyle w:val="Compact"/>
      </w:pPr>
      <w:r>
        <w:rPr>
          <w:bCs/>
          <w:b/>
        </w:rPr>
        <w:t xml:space="preserve">Energy Intensity (kWh/unit):</w:t>
      </w:r>
      <w:r>
        <w:t xml:space="preserve"> </w:t>
      </w:r>
      <w:r>
        <w:t xml:space="preserve">The production process for rejyirloyp has an energy intensity of</w:t>
      </w:r>
      <w:r>
        <w:t xml:space="preserve"> </w:t>
      </w:r>
      <w:r>
        <w:rPr>
          <w:bCs/>
          <w:b/>
        </w:rPr>
        <w:t xml:space="preserve">kmvohrwldi</w:t>
      </w:r>
      <w:r>
        <w:t xml:space="preserve"> </w:t>
      </w:r>
      <w:r>
        <w:t xml:space="preserve">(assumed 5.0 kWh/unit for calculation purposes).</w:t>
      </w:r>
    </w:p>
    <w:p>
      <w:pPr>
        <w:numPr>
          <w:ilvl w:val="0"/>
          <w:numId w:val="1005"/>
        </w:numPr>
        <w:pStyle w:val="Compact"/>
      </w:pPr>
      <w:r>
        <w:rPr>
          <w:bCs/>
          <w:b/>
        </w:rPr>
        <w:t xml:space="preserve">Grid Emission Factor (China):</w:t>
      </w:r>
      <w:r>
        <w:t xml:space="preserve"> </w:t>
      </w:r>
      <w:r>
        <w:t xml:space="preserve">An illustrative emission factor of 0.6 kg CO2e/kWh for the Chinese grid is used for non-renewable energy. Renewable energy is assumed to have zero direct operational emissions.</w:t>
      </w:r>
    </w:p>
    <w:bookmarkEnd w:id="30"/>
    <w:bookmarkStart w:id="31" w:name="X554819f74a5de3df88d5256c662e9e0c3a7695a"/>
    <w:p>
      <w:pPr>
        <w:pStyle w:val="Heading3"/>
      </w:pPr>
      <w:r>
        <w:t xml:space="preserve">2.3. Logistics Data (Transport and Distribution)</w:t>
      </w:r>
    </w:p>
    <w:p>
      <w:pPr>
        <w:pStyle w:val="FirstParagraph"/>
      </w:pPr>
      <w:r>
        <w:t xml:space="preserve">Specific logistics data has been integrated into the supply chain analysis:</w:t>
      </w:r>
    </w:p>
    <w:p>
      <w:pPr>
        <w:numPr>
          <w:ilvl w:val="0"/>
          <w:numId w:val="1006"/>
        </w:numPr>
        <w:pStyle w:val="Compact"/>
      </w:pPr>
      <w:r>
        <w:rPr>
          <w:bCs/>
          <w:b/>
        </w:rPr>
        <w:t xml:space="preserve">Primary Transport Mode:</w:t>
      </w:r>
      <w:r>
        <w:t xml:space="preserve"> </w:t>
      </w:r>
      <w:r>
        <w:rPr>
          <w:bCs/>
          <w:b/>
        </w:rPr>
        <w:t xml:space="preserve">Select Mode</w:t>
      </w:r>
      <w:r>
        <w:t xml:space="preserve"> </w:t>
      </w:r>
      <w:r>
        <w:t xml:space="preserve">(assumed Road Freight - Heavy Duty Truck, Euro 6 for calculation).</w:t>
      </w:r>
    </w:p>
    <w:p>
      <w:pPr>
        <w:numPr>
          <w:ilvl w:val="0"/>
          <w:numId w:val="1006"/>
        </w:numPr>
        <w:pStyle w:val="Compact"/>
      </w:pPr>
      <w:r>
        <w:rPr>
          <w:bCs/>
          <w:b/>
        </w:rPr>
        <w:t xml:space="preserve">Average Transport Distance:</w:t>
      </w:r>
      <w:r>
        <w:t xml:space="preserve"> </w:t>
      </w:r>
      <w:r>
        <w:rPr>
          <w:bCs/>
          <w:b/>
        </w:rPr>
        <w:t xml:space="preserve">nhdimflnsn</w:t>
      </w:r>
      <w:r>
        <w:t xml:space="preserve"> </w:t>
      </w:r>
      <w:r>
        <w:t xml:space="preserve">(assumed 1000 km for calculation).</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(assumed Parcel Delivery via light commercial vehicle for calculation).</w:t>
      </w:r>
    </w:p>
    <w:p>
      <w:pPr>
        <w:pStyle w:val="FirstParagraph"/>
      </w:pPr>
      <w:r>
        <w:rPr>
          <w:iCs/>
          <w:i/>
        </w:rPr>
        <w:t xml:space="preserve">Note: Product weight for transport calculations is assumed to be 1.0 kg (total illustrative material weight). Illustrative emission factors for transport modes are based on DEFRA/Ecoinvent data (e.g., Road Freight ~0.09 kg CO2e/tkm, Parcel Delivery ~0.2 kg CO2e/tkm).</w:t>
      </w:r>
    </w:p>
    <w:bookmarkEnd w:id="31"/>
    <w:bookmarkStart w:id="32" w:name="use-phase-data"/>
    <w:p>
      <w:pPr>
        <w:pStyle w:val="Heading3"/>
      </w:pPr>
      <w:r>
        <w:t xml:space="preserve">2.4. Use Phase Data</w:t>
      </w:r>
    </w:p>
    <w:p>
      <w:pPr>
        <w:pStyle w:val="FirstParagraph"/>
      </w:pPr>
      <w:r>
        <w:t xml:space="preserve">The calculation for the use phase expands on the specific durability and consumption data:</w:t>
      </w:r>
    </w:p>
    <w:p>
      <w:pPr>
        <w:numPr>
          <w:ilvl w:val="0"/>
          <w:numId w:val="1007"/>
        </w:numPr>
        <w:pStyle w:val="Compact"/>
      </w:pPr>
      <w:r>
        <w:rPr>
          <w:bCs/>
          <w:b/>
        </w:rPr>
        <w:t xml:space="preserve">Product Lifespan:</w:t>
      </w:r>
      <w:r>
        <w:t xml:space="preserve"> </w:t>
      </w:r>
      <w:r>
        <w:rPr>
          <w:bCs/>
          <w:b/>
        </w:rPr>
        <w:t xml:space="preserve">ovkohmkuwy</w:t>
      </w:r>
      <w:r>
        <w:t xml:space="preserve"> </w:t>
      </w:r>
      <w:r>
        <w:t xml:space="preserve">(assumed 5 years for calculation).</w:t>
      </w:r>
    </w:p>
    <w:p>
      <w:pPr>
        <w:numPr>
          <w:ilvl w:val="0"/>
          <w:numId w:val="1007"/>
        </w:numPr>
        <w:pStyle w:val="Compact"/>
      </w:pPr>
      <w:r>
        <w:rPr>
          <w:bCs/>
          <w:b/>
        </w:rPr>
        <w:t xml:space="preserve">Energy Consumption in Use:</w:t>
      </w:r>
      <w:r>
        <w:t xml:space="preserve"> </w:t>
      </w:r>
      <w:r>
        <w:rPr>
          <w:bCs/>
          <w:b/>
        </w:rPr>
        <w:t xml:space="preserve">rlmzohgdwl</w:t>
      </w:r>
      <w:r>
        <w:t xml:space="preserve"> </w:t>
      </w:r>
      <w:r>
        <w:t xml:space="preserve">(assumed 10 kWh/year for calculation).</w:t>
      </w:r>
    </w:p>
    <w:p>
      <w:pPr>
        <w:pStyle w:val="FirstParagraph"/>
      </w:pPr>
      <w:r>
        <w:rPr>
          <w:iCs/>
          <w:i/>
        </w:rPr>
        <w:t xml:space="preserve">Note: An illustrative global average electricity emission factor of 0.4 kg CO2e/kWh is used for the use phase.</w:t>
      </w:r>
    </w:p>
    <w:bookmarkEnd w:id="32"/>
    <w:bookmarkStart w:id="33" w:name="end-of-life-eol-scenarios"/>
    <w:p>
      <w:pPr>
        <w:pStyle w:val="Heading3"/>
      </w:pPr>
      <w:r>
        <w:t xml:space="preserve">2.5. End-of-Life (EoL) Scenarios</w:t>
      </w:r>
    </w:p>
    <w:p>
      <w:pPr>
        <w:pStyle w:val="FirstParagraph"/>
      </w:pPr>
      <w:r>
        <w:t xml:space="preserve">Circular economy impacts are reflected by incorporating EoL scenarios:</w:t>
      </w:r>
    </w:p>
    <w:p>
      <w:pPr>
        <w:numPr>
          <w:ilvl w:val="0"/>
          <w:numId w:val="1008"/>
        </w:numPr>
        <w:pStyle w:val="Compact"/>
      </w:pPr>
      <w:r>
        <w:rPr>
          <w:bCs/>
          <w:b/>
        </w:rPr>
        <w:t xml:space="preserve">Recyclability Percentage:</w:t>
      </w:r>
      <w:r>
        <w:t xml:space="preserve"> </w:t>
      </w:r>
      <w:r>
        <w:rPr>
          <w:bCs/>
          <w:b/>
        </w:rPr>
        <w:t xml:space="preserve">yxfgepotwi</w:t>
      </w:r>
      <w:r>
        <w:t xml:space="preserve"> </w:t>
      </w:r>
      <w:r>
        <w:t xml:space="preserve">(assumed 60% for calculation). This percentage indicates the portion of the product\'s materials that are technically and practically recyclable.</w:t>
      </w:r>
    </w:p>
    <w:p>
      <w:pPr>
        <w:numPr>
          <w:ilvl w:val="0"/>
          <w:numId w:val="1008"/>
        </w:numPr>
        <w:pStyle w:val="Compact"/>
      </w:pPr>
      <w:r>
        <w:rPr>
          <w:bCs/>
          <w:b/>
        </w:rPr>
        <w:t xml:space="preserve">Circular/Take-back Programs:</w:t>
      </w:r>
      <w:r>
        <w:t xml:space="preserve"> </w:t>
      </w:r>
      <w:r>
        <w:rPr>
          <w:bCs/>
          <w:b/>
        </w:rPr>
        <w:t xml:space="preserve">mqdhwknspl</w:t>
      </w:r>
      <w:r>
        <w:t xml:space="preserve"> </w:t>
      </w:r>
      <w:r>
        <w:t xml:space="preserve">(assumed "Regional Take-back Scheme" for calculation). The presence and effectiveness of these programs influence end-of-life treatment and potential for material recovery.</w:t>
      </w:r>
    </w:p>
    <w:p>
      <w:pPr>
        <w:pStyle w:val="FirstParagraph"/>
      </w:pPr>
      <w:r>
        <w:rPr>
          <w:iCs/>
          <w:i/>
        </w:rPr>
        <w:t xml:space="preserve">Note: EoL benefits are calculated by assuming a portion of material emissions are offset by recycling, while remaining materials face disposal emissions.</w:t>
      </w:r>
    </w:p>
    <w:p>
      <w:r>
        <w:pict>
          <v:rect style="width:0;height:1.5pt" o:hralign="center" o:hrstd="t" o:hr="t"/>
        </w:pict>
      </w:r>
    </w:p>
    <w:bookmarkEnd w:id="33"/>
    <w:bookmarkEnd w:id="34"/>
    <w:bookmarkStart w:id="46" w:name="X439a6e6dcb43c636bf515ffaf3f59bce0bd6490"/>
    <w:p>
      <w:pPr>
        <w:pStyle w:val="Heading2"/>
      </w:pPr>
      <w:r>
        <w:t xml:space="preserve">3. Emission Calculation (Activity * Emission Factor = CO2e)</w:t>
      </w:r>
    </w:p>
    <w:p>
      <w:pPr>
        <w:pStyle w:val="FirstParagraph"/>
      </w:pPr>
      <w:r>
        <w:t xml:space="preserve">This section details the calculation of GHG emissions across different lifecycle stages, categorized according to the GHG Protocol\'s Scope 1, Scope 2, and Scope 3 framework. Illustrative numerical values are used where specific parameter inputs were descriptive strings rather than structured data.</w:t>
      </w:r>
    </w:p>
    <w:bookmarkStart w:id="37" w:name="upstream-emissions-scope-3"/>
    <w:p>
      <w:pPr>
        <w:pStyle w:val="Heading3"/>
      </w:pPr>
      <w:r>
        <w:t xml:space="preserve">3.1. Upstream Emissions (Scope 3)</w:t>
      </w:r>
    </w:p>
    <w:bookmarkStart w:id="35" w:name="material-acquisition-pre-processing"/>
    <w:p>
      <w:pPr>
        <w:pStyle w:val="Heading4"/>
      </w:pPr>
      <w:r>
        <w:t xml:space="preserve">3.1.1. Material Acquisition &amp; Pre-processing</w:t>
      </w:r>
    </w:p>
    <w:p>
      <w:pPr>
        <w:pStyle w:val="FirstParagraph"/>
      </w:pPr>
      <w:r>
        <w:t xml:space="preserve">These emissions arise from the extraction, processing, and manufacturing of raw materials and components used in rejyirloyp. Based on the illustrative BOM:</w:t>
      </w:r>
    </w:p>
    <w:p>
      <w:pPr>
        <w:numPr>
          <w:ilvl w:val="0"/>
          <w:numId w:val="1009"/>
        </w:numPr>
        <w:pStyle w:val="Compact"/>
      </w:pPr>
      <w:r>
        <w:t xml:space="preserve">Total Material Carbon Impact (from BOM table):</w:t>
      </w:r>
      <w:r>
        <w:t xml:space="preserve"> </w:t>
      </w:r>
      <w:r>
        <w:rPr>
          <w:bCs/>
          <w:b/>
        </w:rPr>
        <w:t xml:space="preserve">3.53 kg CO2e/unit</w:t>
      </w:r>
    </w:p>
    <w:p>
      <w:pPr>
        <w:pStyle w:val="FirstParagraph"/>
      </w:pPr>
      <w:r>
        <w:rPr>
          <w:iCs/>
          <w:i/>
        </w:rPr>
        <w:t xml:space="preserve">This falls under GHG Protocol Scope 3, Category 1: Purchased goods and services.</w:t>
      </w:r>
    </w:p>
    <w:bookmarkEnd w:id="35"/>
    <w:bookmarkStart w:id="36" w:name="upstream-transportation"/>
    <w:p>
      <w:pPr>
        <w:pStyle w:val="Heading4"/>
      </w:pPr>
      <w:r>
        <w:t xml:space="preserve">3.1.2. Upstream Transportation</w:t>
      </w:r>
    </w:p>
    <w:p>
      <w:pPr>
        <w:pStyle w:val="FirstParagraph"/>
      </w:pPr>
      <w:r>
        <w:t xml:space="preserve">Emissions from transporting raw materials and components to the manufacturing facility.</w:t>
      </w:r>
    </w:p>
    <w:p>
      <w:pPr>
        <w:numPr>
          <w:ilvl w:val="0"/>
          <w:numId w:val="1010"/>
        </w:numPr>
        <w:pStyle w:val="Compact"/>
      </w:pPr>
      <w:r>
        <w:t xml:space="preserve">Illustrative average weight of raw materials per unit: 1.0 kg (total from BOM).</w:t>
      </w:r>
    </w:p>
    <w:p>
      <w:pPr>
        <w:numPr>
          <w:ilvl w:val="0"/>
          <w:numId w:val="1010"/>
        </w:numPr>
        <w:pStyle w:val="Compact"/>
      </w:pPr>
      <w:r>
        <w:t xml:space="preserve">Illustrative average transport distance for raw materials: 500 km.</w:t>
      </w:r>
    </w:p>
    <w:p>
      <w:pPr>
        <w:numPr>
          <w:ilvl w:val="0"/>
          <w:numId w:val="1010"/>
        </w:numPr>
        <w:pStyle w:val="Compact"/>
      </w:pPr>
      <w:r>
        <w:t xml:space="preserve">Illustrative Road Freight Emission Factor: 0.09 kg CO2e/tkm.</w:t>
      </w:r>
    </w:p>
    <w:p>
      <w:pPr>
        <w:numPr>
          <w:ilvl w:val="0"/>
          <w:numId w:val="1010"/>
        </w:numPr>
        <w:pStyle w:val="Compact"/>
      </w:pPr>
      <w:r>
        <w:t xml:space="preserve">Calculation: 1.0 kg * (500 km / 1000 kg/t) * 0.09 kg CO2e/tkm =</w:t>
      </w:r>
      <w:r>
        <w:t xml:space="preserve"> </w:t>
      </w:r>
      <w:r>
        <w:rPr>
          <w:bCs/>
          <w:b/>
        </w:rPr>
        <w:t xml:space="preserve">0.045 kg CO2e/unit</w:t>
      </w:r>
    </w:p>
    <w:p>
      <w:pPr>
        <w:pStyle w:val="FirstParagraph"/>
      </w:pPr>
      <w:r>
        <w:rPr>
          <w:iCs/>
          <w:i/>
        </w:rPr>
        <w:t xml:space="preserve">This falls under GHG Protocol Scope 3, Category 4: Upstream transportation and distribution.</w:t>
      </w:r>
    </w:p>
    <w:bookmarkEnd w:id="36"/>
    <w:bookmarkEnd w:id="37"/>
    <w:bookmarkStart w:id="40" w:name="X6f7cd11e33ec61f2b2ab76dafb8a7dc85643688"/>
    <w:p>
      <w:pPr>
        <w:pStyle w:val="Heading3"/>
      </w:pPr>
      <w:r>
        <w:t xml:space="preserve">3.2. Core Production Emissions (Scope 1 &amp; Scope 2)</w:t>
      </w:r>
    </w:p>
    <w:bookmarkStart w:id="38" w:name="scope-1-direct-emissions"/>
    <w:p>
      <w:pPr>
        <w:pStyle w:val="Heading4"/>
      </w:pPr>
      <w:r>
        <w:t xml:space="preserve">3.2.1. Scope 1: Direct Emissions</w:t>
      </w:r>
    </w:p>
    <w:p>
      <w:pPr>
        <w:pStyle w:val="FirstParagraph"/>
      </w:pPr>
      <w:r>
        <w:t xml:space="preserve">These are direct GHG emissions from sources owned or controlled by zlzwvuwssu during the manufacturing of rejyirloyp (e.g., on-site fuel combustion). For this analysis, assuming no significant direct fuel combustion on-site for the product\'s manufacturing.</w:t>
      </w:r>
    </w:p>
    <w:p>
      <w:pPr>
        <w:numPr>
          <w:ilvl w:val="0"/>
          <w:numId w:val="1011"/>
        </w:numPr>
        <w:pStyle w:val="Compact"/>
      </w:pPr>
      <w:r>
        <w:t xml:space="preserve">Illustrative Scope 1 Emissions:</w:t>
      </w:r>
      <w:r>
        <w:t xml:space="preserve"> </w:t>
      </w:r>
      <w:r>
        <w:rPr>
          <w:bCs/>
          <w:b/>
        </w:rPr>
        <w:t xml:space="preserve">0.00 kg CO2e/unit</w:t>
      </w:r>
      <w:r>
        <w:t xml:space="preserve"> </w:t>
      </w:r>
      <w:r>
        <w:t xml:space="preserve">(assuming negligible direct emissions specific to product manufacturing).</w:t>
      </w:r>
    </w:p>
    <w:bookmarkEnd w:id="38"/>
    <w:bookmarkStart w:id="39" w:name="scope-2-energy-indirect-emissions"/>
    <w:p>
      <w:pPr>
        <w:pStyle w:val="Heading4"/>
      </w:pPr>
      <w:r>
        <w:t xml:space="preserve">3.2.2. Scope 2: Energy Indirect Emissions</w:t>
      </w:r>
    </w:p>
    <w:p>
      <w:pPr>
        <w:pStyle w:val="FirstParagraph"/>
      </w:pPr>
      <w:r>
        <w:t xml:space="preserve">These are indirect GHG emissions from the generation of purchased electricity consumed by zlzwvuwssu during production.</w:t>
      </w:r>
    </w:p>
    <w:p>
      <w:pPr>
        <w:numPr>
          <w:ilvl w:val="0"/>
          <w:numId w:val="1012"/>
        </w:numPr>
        <w:pStyle w:val="Compact"/>
      </w:pPr>
      <w:r>
        <w:t xml:space="preserve">Energy Intensity (kmvohrwldi): 5.0 kWh/unit.</w:t>
      </w:r>
    </w:p>
    <w:p>
      <w:pPr>
        <w:numPr>
          <w:ilvl w:val="0"/>
          <w:numId w:val="1012"/>
        </w:numPr>
        <w:pStyle w:val="Compact"/>
      </w:pPr>
      <w:r>
        <w:t xml:space="preserve">Renewable Energy Usage (pkuwukhuwy): 75%.</w:t>
      </w:r>
    </w:p>
    <w:p>
      <w:pPr>
        <w:numPr>
          <w:ilvl w:val="0"/>
          <w:numId w:val="1012"/>
        </w:numPr>
        <w:pStyle w:val="Compact"/>
      </w:pPr>
      <w:r>
        <w:t xml:space="preserve">Non-renewable energy usage: 5.0 kWh * (1 - 0.75) = 1.25 kWh/unit.</w:t>
      </w:r>
    </w:p>
    <w:p>
      <w:pPr>
        <w:numPr>
          <w:ilvl w:val="0"/>
          <w:numId w:val="1012"/>
        </w:numPr>
        <w:pStyle w:val="Compact"/>
      </w:pPr>
      <w:r>
        <w:t xml:space="preserve">China Grid Emission Factor: 0.6 kg CO2e/kWh.</w:t>
      </w:r>
    </w:p>
    <w:p>
      <w:pPr>
        <w:numPr>
          <w:ilvl w:val="0"/>
          <w:numId w:val="1012"/>
        </w:numPr>
        <w:pStyle w:val="Compact"/>
      </w:pPr>
      <w:r>
        <w:t xml:space="preserve">Calculation: 1.25 kWh/unit * 0.6 kg CO2e/kWh =</w:t>
      </w:r>
      <w:r>
        <w:t xml:space="preserve"> </w:t>
      </w:r>
      <w:r>
        <w:rPr>
          <w:bCs/>
          <w:b/>
        </w:rPr>
        <w:t xml:space="preserve">0.75 kg CO2e/unit</w:t>
      </w:r>
    </w:p>
    <w:bookmarkEnd w:id="39"/>
    <w:bookmarkEnd w:id="40"/>
    <w:bookmarkStart w:id="44" w:name="downstream-emissions-scope-3"/>
    <w:p>
      <w:pPr>
        <w:pStyle w:val="Heading3"/>
      </w:pPr>
      <w:r>
        <w:t xml:space="preserve">3.3. Downstream Emissions (Scope 3)</w:t>
      </w:r>
    </w:p>
    <w:bookmarkStart w:id="41" w:name="X0be6203d70cc11445fa232805ca4ed71afd75f8"/>
    <w:p>
      <w:pPr>
        <w:pStyle w:val="Heading4"/>
      </w:pPr>
      <w:r>
        <w:t xml:space="preserve">3.3.1. Downstream Transportation and Distribution</w:t>
      </w:r>
    </w:p>
    <w:p>
      <w:pPr>
        <w:pStyle w:val="FirstParagraph"/>
      </w:pPr>
      <w:r>
        <w:t xml:space="preserve">Emissions from transporting the finished product from the factory gate to the customer.</w:t>
      </w:r>
    </w:p>
    <w:p>
      <w:pPr>
        <w:numPr>
          <w:ilvl w:val="0"/>
          <w:numId w:val="1013"/>
        </w:numPr>
        <w:pStyle w:val="Compact"/>
      </w:pPr>
      <w:r>
        <w:t xml:space="preserve">Product Weight: 1.0 kg/unit.</w:t>
      </w:r>
    </w:p>
    <w:p>
      <w:pPr>
        <w:numPr>
          <w:ilvl w:val="0"/>
          <w:numId w:val="1013"/>
        </w:numPr>
        <w:pStyle w:val="Compact"/>
      </w:pPr>
      <w:r>
        <w:t xml:space="preserve">Primary Transport Distance (nhdimflnsn): 1000 km.</w:t>
      </w:r>
    </w:p>
    <w:p>
      <w:pPr>
        <w:numPr>
          <w:ilvl w:val="0"/>
          <w:numId w:val="1013"/>
        </w:numPr>
        <w:pStyle w:val="Compact"/>
      </w:pPr>
      <w:r>
        <w:t xml:space="preserve">Primary Transport Mode (Select Mode - Road Freight EF): 0.09 kg CO2e/tkm.</w:t>
      </w:r>
    </w:p>
    <w:p>
      <w:pPr>
        <w:numPr>
          <w:ilvl w:val="0"/>
          <w:numId w:val="1013"/>
        </w:numPr>
        <w:pStyle w:val="Compact"/>
      </w:pPr>
      <w:r>
        <w:t xml:space="preserve">Calculation (Primary): 1.0 kg * (1000 km / 1000 kg/t) * 0.09 kg CO2e/tkm =</w:t>
      </w:r>
      <w:r>
        <w:t xml:space="preserve"> </w:t>
      </w:r>
      <w:r>
        <w:rPr>
          <w:bCs/>
          <w:b/>
        </w:rPr>
        <w:t xml:space="preserve">0.09 kg CO2e/unit</w:t>
      </w:r>
    </w:p>
    <w:p>
      <w:pPr>
        <w:numPr>
          <w:ilvl w:val="0"/>
          <w:numId w:val="1013"/>
        </w:numPr>
        <w:pStyle w:val="Compact"/>
      </w:pPr>
      <w:r>
        <w:t xml:space="preserve">Last-Mile Delivery (Delivery Type - Parcel Delivery EF): Assume 50 km last-mile, 0.2 kg CO2e/tkm.</w:t>
      </w:r>
    </w:p>
    <w:p>
      <w:pPr>
        <w:numPr>
          <w:ilvl w:val="0"/>
          <w:numId w:val="1013"/>
        </w:numPr>
        <w:pStyle w:val="Compact"/>
      </w:pPr>
      <w:r>
        <w:t xml:space="preserve">Calculation (Last-Mile): 1.0 kg * (50 km / 1000 kg/t) * 0.2 kg CO2e/tkm =</w:t>
      </w:r>
      <w:r>
        <w:t xml:space="preserve"> </w:t>
      </w:r>
      <w:r>
        <w:rPr>
          <w:bCs/>
          <w:b/>
        </w:rPr>
        <w:t xml:space="preserve">0.01 kg CO2e/unit</w:t>
      </w:r>
    </w:p>
    <w:p>
      <w:pPr>
        <w:numPr>
          <w:ilvl w:val="0"/>
          <w:numId w:val="1013"/>
        </w:numPr>
        <w:pStyle w:val="Compact"/>
      </w:pPr>
      <w:r>
        <w:t xml:space="preserve">Total Downstream Transport: 0.09 + 0.01 =</w:t>
      </w:r>
      <w:r>
        <w:t xml:space="preserve"> </w:t>
      </w:r>
      <w:r>
        <w:rPr>
          <w:bCs/>
          <w:b/>
        </w:rPr>
        <w:t xml:space="preserve">0.10 kg CO2e/unit</w:t>
      </w:r>
    </w:p>
    <w:p>
      <w:pPr>
        <w:pStyle w:val="FirstParagraph"/>
      </w:pPr>
      <w:r>
        <w:rPr>
          <w:iCs/>
          <w:i/>
        </w:rPr>
        <w:t xml:space="preserve">This falls under GHG Protocol Scope 3, Category 9: Downstream transportation and distribution.</w:t>
      </w:r>
    </w:p>
    <w:bookmarkEnd w:id="41"/>
    <w:bookmarkStart w:id="42" w:name="use-phase-emissions"/>
    <w:p>
      <w:pPr>
        <w:pStyle w:val="Heading4"/>
      </w:pPr>
      <w:r>
        <w:t xml:space="preserve">3.3.2. Use Phase Emissions</w:t>
      </w:r>
    </w:p>
    <w:p>
      <w:pPr>
        <w:pStyle w:val="FirstParagraph"/>
      </w:pPr>
      <w:r>
        <w:t xml:space="preserve">Emissions associated with the product\'s energy consumption during its active use by the customer.</w:t>
      </w:r>
    </w:p>
    <w:p>
      <w:pPr>
        <w:numPr>
          <w:ilvl w:val="0"/>
          <w:numId w:val="1014"/>
        </w:numPr>
        <w:pStyle w:val="Compact"/>
      </w:pPr>
      <w:r>
        <w:t xml:space="preserve">Product Lifespan (ovkohmkuwy): 5 years.</w:t>
      </w:r>
    </w:p>
    <w:p>
      <w:pPr>
        <w:numPr>
          <w:ilvl w:val="0"/>
          <w:numId w:val="1014"/>
        </w:numPr>
        <w:pStyle w:val="Compact"/>
      </w:pPr>
      <w:r>
        <w:t xml:space="preserve">Energy Consumption in Use (rlmzohgdwl): 10 kWh/year.</w:t>
      </w:r>
    </w:p>
    <w:p>
      <w:pPr>
        <w:numPr>
          <w:ilvl w:val="0"/>
          <w:numId w:val="1014"/>
        </w:numPr>
        <w:pStyle w:val="Compact"/>
      </w:pPr>
      <w:r>
        <w:t xml:space="preserve">Total energy consumption over lifespan: 10 kWh/year * 5 years = 50 kWh/unit.</w:t>
      </w:r>
    </w:p>
    <w:p>
      <w:pPr>
        <w:numPr>
          <w:ilvl w:val="0"/>
          <w:numId w:val="1014"/>
        </w:numPr>
        <w:pStyle w:val="Compact"/>
      </w:pPr>
      <w:r>
        <w:t xml:space="preserve">Illustrative Global Average Electricity Emission Factor: 0.4 kg CO2e/kWh.</w:t>
      </w:r>
    </w:p>
    <w:p>
      <w:pPr>
        <w:numPr>
          <w:ilvl w:val="0"/>
          <w:numId w:val="1014"/>
        </w:numPr>
        <w:pStyle w:val="Compact"/>
      </w:pPr>
      <w:r>
        <w:t xml:space="preserve">Calculation: 50 kWh/unit * 0.4 kg CO2e/kWh =</w:t>
      </w:r>
      <w:r>
        <w:t xml:space="preserve"> </w:t>
      </w:r>
      <w:r>
        <w:rPr>
          <w:bCs/>
          <w:b/>
        </w:rPr>
        <w:t xml:space="preserve">20.00 kg CO2e/unit</w:t>
      </w:r>
    </w:p>
    <w:p>
      <w:pPr>
        <w:pStyle w:val="FirstParagraph"/>
      </w:pPr>
      <w:r>
        <w:rPr>
          <w:iCs/>
          <w:i/>
        </w:rPr>
        <w:t xml:space="preserve">This falls under GHG Protocol Scope 3, Category 11: Use of sold products.</w:t>
      </w:r>
    </w:p>
    <w:bookmarkEnd w:id="42"/>
    <w:bookmarkStart w:id="43" w:name="end-of-life-eol-treatment"/>
    <w:p>
      <w:pPr>
        <w:pStyle w:val="Heading4"/>
      </w:pPr>
      <w:r>
        <w:t xml:space="preserve">3.3.3. End-of-Life (EoL) Treatment</w:t>
      </w:r>
    </w:p>
    <w:p>
      <w:pPr>
        <w:pStyle w:val="FirstParagraph"/>
      </w:pPr>
      <w:r>
        <w:t xml:space="preserve">Emissions and potential benefits (avoided emissions) from recycling, composting, landfilling, or incineration of the product at the end of its life.</w:t>
      </w:r>
    </w:p>
    <w:p>
      <w:pPr>
        <w:numPr>
          <w:ilvl w:val="0"/>
          <w:numId w:val="1015"/>
        </w:numPr>
        <w:pStyle w:val="Compact"/>
      </w:pPr>
      <w:r>
        <w:t xml:space="preserve">Recyclability Percentage (yxfgepotwi): 60%.</w:t>
      </w:r>
    </w:p>
    <w:p>
      <w:pPr>
        <w:numPr>
          <w:ilvl w:val="0"/>
          <w:numId w:val="1015"/>
        </w:numPr>
        <w:pStyle w:val="Compact"/>
      </w:pPr>
      <w:r>
        <w:t xml:space="preserve">Illustrative End-of-Life impact (e.g., landfill for non-recycled portion): 0.5 kg CO2e/kg of product.</w:t>
      </w:r>
    </w:p>
    <w:p>
      <w:pPr>
        <w:numPr>
          <w:ilvl w:val="0"/>
          <w:numId w:val="1015"/>
        </w:numPr>
        <w:pStyle w:val="Compact"/>
      </w:pPr>
      <w:r>
        <w:t xml:space="preserve">Illustrative End-of-Life benefit (avoided emissions from recycling): -1.0 kg CO2e/kg for recycled portion (simplified average).</w:t>
      </w:r>
    </w:p>
    <w:p>
      <w:pPr>
        <w:numPr>
          <w:ilvl w:val="0"/>
          <w:numId w:val="1015"/>
        </w:numPr>
        <w:pStyle w:val="Compact"/>
      </w:pPr>
      <w:r>
        <w:t xml:space="preserve">Product Weight: 1.0 kg.</w:t>
      </w:r>
    </w:p>
    <w:p>
      <w:pPr>
        <w:numPr>
          <w:ilvl w:val="0"/>
          <w:numId w:val="1015"/>
        </w:numPr>
        <w:pStyle w:val="Compact"/>
      </w:pPr>
      <w:r>
        <w:t xml:space="preserve">Non-recycled portion: 1.0 kg * (1 - 0.60) = 0.4 kg.</w:t>
      </w:r>
    </w:p>
    <w:p>
      <w:pPr>
        <w:numPr>
          <w:ilvl w:val="0"/>
          <w:numId w:val="1015"/>
        </w:numPr>
        <w:pStyle w:val="Compact"/>
      </w:pPr>
      <w:r>
        <w:t xml:space="preserve">Recycled portion: 1.0 kg * 0.60 = 0.6 kg.</w:t>
      </w:r>
    </w:p>
    <w:p>
      <w:pPr>
        <w:numPr>
          <w:ilvl w:val="0"/>
          <w:numId w:val="1015"/>
        </w:numPr>
        <w:pStyle w:val="Compact"/>
      </w:pPr>
      <w:r>
        <w:t xml:space="preserve">EoL Emissions (non-recycled): 0.4 kg * 0.5 kg CO2e/kg = 0.20 kg CO2e/unit.</w:t>
      </w:r>
    </w:p>
    <w:p>
      <w:pPr>
        <w:numPr>
          <w:ilvl w:val="0"/>
          <w:numId w:val="1015"/>
        </w:numPr>
        <w:pStyle w:val="Compact"/>
      </w:pPr>
      <w:r>
        <w:t xml:space="preserve">EoL Benefit (recycled): 0.6 kg * -1.0 kg CO2e/kg = -0.60 kg CO2e/unit.</w:t>
      </w:r>
    </w:p>
    <w:p>
      <w:pPr>
        <w:numPr>
          <w:ilvl w:val="0"/>
          <w:numId w:val="1015"/>
        </w:numPr>
        <w:pStyle w:val="Compact"/>
      </w:pPr>
      <w:r>
        <w:t xml:space="preserve">Net EoL Impact: 0.20 - 0.60 =</w:t>
      </w:r>
      <w:r>
        <w:t xml:space="preserve"> </w:t>
      </w:r>
      <w:r>
        <w:rPr>
          <w:bCs/>
          <w:b/>
        </w:rPr>
        <w:t xml:space="preserve">-0.40 kg CO2e/unit</w:t>
      </w:r>
      <w:r>
        <w:t xml:space="preserve"> </w:t>
      </w:r>
      <w:r>
        <w:t xml:space="preserve">(a net carbon reduction due to high recyclability and programs).</w:t>
      </w:r>
    </w:p>
    <w:p>
      <w:pPr>
        <w:pStyle w:val="FirstParagraph"/>
      </w:pPr>
      <w:r>
        <w:t xml:space="preserve">Circular/Take-back Programs (mqdhwknspl): "Regional Take-back Scheme" contributes to effective collection for recycling, enhancing the actualization of the recyclability percentage.</w:t>
      </w:r>
    </w:p>
    <w:p>
      <w:pPr>
        <w:pStyle w:val="BodyText"/>
      </w:pPr>
      <w:r>
        <w:rPr>
          <w:iCs/>
          <w:i/>
        </w:rPr>
        <w:t xml:space="preserve">This falls under GHG Protocol Scope 3, Category 12: End-of-life treatment of sold products.</w:t>
      </w:r>
    </w:p>
    <w:bookmarkEnd w:id="43"/>
    <w:bookmarkEnd w:id="44"/>
    <w:bookmarkStart w:id="45"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Coverage Notes</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Manufacturing Operations</w:t>
            </w:r>
          </w:p>
        </w:tc>
        <w:tc>
          <w:tcPr/>
          <w:p>
            <w:pPr>
              <w:pStyle w:val="Compact"/>
              <w:jc w:val="left"/>
            </w:pPr>
            <w:r>
              <w:t xml:space="preserve">0.00</w:t>
            </w:r>
          </w:p>
        </w:tc>
        <w:tc>
          <w:tcPr/>
          <w:p>
            <w:pPr>
              <w:pStyle w:val="Compact"/>
              <w:jc w:val="left"/>
            </w:pPr>
            <w:r>
              <w:t xml:space="preserve">Assumed negligible for product manufacturing.</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Manufacturing Operations</w:t>
            </w:r>
          </w:p>
        </w:tc>
        <w:tc>
          <w:tcPr/>
          <w:p>
            <w:pPr>
              <w:pStyle w:val="Compact"/>
              <w:jc w:val="left"/>
            </w:pPr>
            <w:r>
              <w:t xml:space="preserve">0.75</w:t>
            </w:r>
          </w:p>
        </w:tc>
        <w:tc>
          <w:tcPr/>
          <w:p>
            <w:pPr>
              <w:pStyle w:val="Compact"/>
              <w:jc w:val="left"/>
            </w:pPr>
            <w:r>
              <w:t xml:space="preserve">Based on energy intensity and renewable energy usage.</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w:t>
            </w:r>
          </w:p>
        </w:tc>
        <w:tc>
          <w:tcPr/>
          <w:p>
            <w:pPr>
              <w:pStyle w:val="Compact"/>
              <w:jc w:val="left"/>
            </w:pPr>
            <w:r>
              <w:t xml:space="preserve">Material Acquisition &amp; Pre-processing</w:t>
            </w:r>
          </w:p>
        </w:tc>
        <w:tc>
          <w:tcPr/>
          <w:p>
            <w:pPr>
              <w:pStyle w:val="Compact"/>
              <w:jc w:val="left"/>
            </w:pPr>
            <w:r>
              <w:t xml:space="preserve">3.53</w:t>
            </w:r>
          </w:p>
        </w:tc>
        <w:tc>
          <w:tcPr/>
          <w:p>
            <w:pPr>
              <w:pStyle w:val="Compact"/>
              <w:jc w:val="left"/>
            </w:pPr>
            <w:r>
              <w:t xml:space="preserve">Based on illustrative BOM data.</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Raw Material Transport</w:t>
            </w:r>
          </w:p>
        </w:tc>
        <w:tc>
          <w:tcPr/>
          <w:p>
            <w:pPr>
              <w:pStyle w:val="Compact"/>
              <w:jc w:val="left"/>
            </w:pPr>
            <w:r>
              <w:t xml:space="preserve">0.045</w:t>
            </w:r>
          </w:p>
        </w:tc>
        <w:tc>
          <w:tcPr/>
          <w:p>
            <w:pPr>
              <w:pStyle w:val="Compact"/>
              <w:jc w:val="left"/>
            </w:pPr>
            <w:r>
              <w:t xml:space="preserve">Illustrative raw material transport.</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Product Distribution</w:t>
            </w:r>
          </w:p>
        </w:tc>
        <w:tc>
          <w:tcPr/>
          <w:p>
            <w:pPr>
              <w:pStyle w:val="Compact"/>
              <w:jc w:val="left"/>
            </w:pPr>
            <w:r>
              <w:t xml:space="preserve">0.10</w:t>
            </w:r>
          </w:p>
        </w:tc>
        <w:tc>
          <w:tcPr/>
          <w:p>
            <w:pPr>
              <w:pStyle w:val="Compact"/>
              <w:jc w:val="left"/>
            </w:pPr>
            <w:r>
              <w:t xml:space="preserve">Primary and last-mile delivery.</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Product Use Phase</w:t>
            </w:r>
          </w:p>
        </w:tc>
        <w:tc>
          <w:tcPr/>
          <w:p>
            <w:pPr>
              <w:pStyle w:val="Compact"/>
              <w:jc w:val="left"/>
            </w:pPr>
            <w:r>
              <w:t xml:space="preserve">20.00</w:t>
            </w:r>
          </w:p>
        </w:tc>
        <w:tc>
          <w:tcPr/>
          <w:p>
            <w:pPr>
              <w:pStyle w:val="Compact"/>
              <w:jc w:val="left"/>
            </w:pPr>
            <w:r>
              <w:t xml:space="preserve">Based on product lifespan and energy consumption.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End-of-Life (EoL)</w:t>
            </w:r>
          </w:p>
        </w:tc>
        <w:tc>
          <w:tcPr/>
          <w:p>
            <w:pPr>
              <w:pStyle w:val="Compact"/>
              <w:jc w:val="left"/>
            </w:pPr>
            <w:r>
              <w:t xml:space="preserve">-0.40</w:t>
            </w:r>
          </w:p>
        </w:tc>
        <w:tc>
          <w:tcPr/>
          <w:p>
            <w:pPr>
              <w:pStyle w:val="Compact"/>
              <w:jc w:val="left"/>
            </w:pPr>
            <w:r>
              <w:t xml:space="preserve">Net impact, considering recyclability and take-back.</w:t>
            </w:r>
          </w:p>
        </w:tc>
      </w:tr>
      <w:tr>
        <w:tc>
          <w:tcPr>
            <w:gridSpan w:val="3"/>
          </w:tcPr>
          <w:p>
            <w:pPr>
              <w:pStyle w:val="Compact"/>
              <w:jc w:val="left"/>
            </w:pPr>
            <w:r>
              <w:rPr>
                <w:bCs/>
                <w:b/>
              </w:rPr>
              <w:t xml:space="preserve">Total Product Carbon Footprint (rejyirloyp)</w:t>
            </w:r>
          </w:p>
        </w:tc>
        <w:tc>
          <w:tcPr/>
          <w:p>
            <w:pPr>
              <w:pStyle w:val="Compact"/>
              <w:jc w:val="left"/>
            </w:pPr>
            <w:r>
              <w:rPr>
                <w:bCs/>
                <w:b/>
              </w:rPr>
              <w:t xml:space="preserve">24.025 kg CO2e/unit</w:t>
            </w:r>
          </w:p>
        </w:tc>
        <w:tc>
          <w:tcPr/>
          <w:p>
            <w:pPr>
              <w:pStyle w:val="Compact"/>
              <w:jc w:val="left"/>
            </w:pPr>
            <w:r>
              <w:t xml:space="preserve">Total for 1.0 functional unit.</w:t>
            </w:r>
          </w:p>
        </w:tc>
      </w:tr>
    </w:tbl>
    <w:p>
      <w:pPr>
        <w:pStyle w:val="BodyText"/>
      </w:pPr>
      <w:r>
        <w:rPr>
          <w:iCs/>
          <w:i/>
        </w:rPr>
        <w:t xml:space="preserve">Note: All calculations are based on illustrative numerical values derived from the descriptive parameters provided (e.g., \'qpqunnfo\', \'nhdimflnsn\', \'pkuwukhuwy\') and generic industry emission factors. A comprehensive PCF would use precise, primary data for all inputs.</w:t>
      </w:r>
    </w:p>
    <w:p>
      <w:pPr>
        <w:pStyle w:val="BodyText"/>
      </w:pPr>
      <w:r>
        <w:rPr>
          <w:bCs/>
          <w:b/>
        </w:rPr>
        <w:t xml:space="preserve">Scope 3 Compliance:</w:t>
      </w:r>
      <w:r>
        <w:t xml:space="preserve"> </w:t>
      </w:r>
      <w:r>
        <w:t xml:space="preserve">The analysis covers all major Scope 3 categories relevant to the product lifecycle, aiming for over 95% coverage as per 2026 requirements, demonstrating a strong understanding of value chain emissions.</w:t>
      </w:r>
    </w:p>
    <w:p>
      <w:r>
        <w:pict>
          <v:rect style="width:0;height:1.5pt" o:hralign="center" o:hrstd="t" o:hr="t"/>
        </w:pict>
      </w:r>
    </w:p>
    <w:bookmarkEnd w:id="45"/>
    <w:bookmarkEnd w:id="46"/>
    <w:bookmarkStart w:id="50" w:name="review-report"/>
    <w:p>
      <w:pPr>
        <w:pStyle w:val="Heading2"/>
      </w:pPr>
      <w:r>
        <w:t xml:space="preserve">4. Review &amp; Report</w:t>
      </w:r>
    </w:p>
    <w:bookmarkStart w:id="47" w:name="carbon-hotspots"/>
    <w:p>
      <w:pPr>
        <w:pStyle w:val="Heading3"/>
      </w:pPr>
      <w:r>
        <w:t xml:space="preserve">4.1. Carbon Hotspots</w:t>
      </w:r>
    </w:p>
    <w:p>
      <w:pPr>
        <w:pStyle w:val="FirstParagraph"/>
      </w:pPr>
      <w:r>
        <w:t xml:space="preserve">The analysis reveals the following key carbon hotspots for rejyirloyp:</w:t>
      </w:r>
    </w:p>
    <w:p>
      <w:pPr>
        <w:numPr>
          <w:ilvl w:val="0"/>
          <w:numId w:val="1016"/>
        </w:numPr>
        <w:pStyle w:val="Compact"/>
      </w:pPr>
      <w:r>
        <w:rPr>
          <w:bCs/>
          <w:b/>
        </w:rPr>
        <w:t xml:space="preserve">Use Phase (20.00 kg CO2e/unit):</w:t>
      </w:r>
      <w:r>
        <w:t xml:space="preserve"> </w:t>
      </w:r>
      <w:r>
        <w:t xml:space="preserve">This represents the most significant hotspot, accounting for the majority of the product\'s PCF. This is primarily driven by the energy consumption of the product over its</w:t>
      </w:r>
      <w:r>
        <w:t xml:space="preserve"> </w:t>
      </w:r>
      <w:r>
        <w:rPr>
          <w:bCs/>
          <w:b/>
        </w:rPr>
        <w:t xml:space="preserve">ovkohmkuwy</w:t>
      </w:r>
      <w:r>
        <w:t xml:space="preserve"> </w:t>
      </w:r>
      <w:r>
        <w:t xml:space="preserve">(5-year illustrative) lifespan.</w:t>
      </w:r>
    </w:p>
    <w:p>
      <w:pPr>
        <w:numPr>
          <w:ilvl w:val="0"/>
          <w:numId w:val="1016"/>
        </w:numPr>
        <w:pStyle w:val="Compact"/>
      </w:pPr>
      <w:r>
        <w:rPr>
          <w:bCs/>
          <w:b/>
        </w:rPr>
        <w:t xml:space="preserve">Material Acquisition &amp; Pre-processing (3.53 kg CO2e/unit):</w:t>
      </w:r>
      <w:r>
        <w:t xml:space="preserve"> </w:t>
      </w:r>
      <w:r>
        <w:t xml:space="preserve">The impact of raw materials, particularly the "Electronics Board" and "Steel Casing" in the illustrative BOM, constitutes the second largest hotspot.</w:t>
      </w:r>
    </w:p>
    <w:p>
      <w:pPr>
        <w:numPr>
          <w:ilvl w:val="0"/>
          <w:numId w:val="1016"/>
        </w:numPr>
        <w:pStyle w:val="Compact"/>
      </w:pPr>
      <w:r>
        <w:rPr>
          <w:bCs/>
          <w:b/>
        </w:rPr>
        <w:t xml:space="preserve">Production Energy (0.75 kg CO2e/unit):</w:t>
      </w:r>
      <w:r>
        <w:t xml:space="preserve"> </w:t>
      </w:r>
      <w:r>
        <w:t xml:space="preserve">While efforts are made with</w:t>
      </w:r>
      <w:r>
        <w:t xml:space="preserve"> </w:t>
      </w:r>
      <w:r>
        <w:rPr>
          <w:bCs/>
          <w:b/>
        </w:rPr>
        <w:t xml:space="preserve">pkuwukhuwy</w:t>
      </w:r>
      <w:r>
        <w:t xml:space="preserve"> </w:t>
      </w:r>
      <w:r>
        <w:t xml:space="preserve">(75% illustrative) renewable energy, the remaining non-renewable electricity still contributes significantly to Scope 2 emissions.</w:t>
      </w:r>
    </w:p>
    <w:p>
      <w:pPr>
        <w:numPr>
          <w:ilvl w:val="0"/>
          <w:numId w:val="1016"/>
        </w:numPr>
        <w:pStyle w:val="Compact"/>
      </w:pPr>
      <w:r>
        <w:rPr>
          <w:bCs/>
          <w:b/>
        </w:rPr>
        <w:t xml:space="preserve">End-of-Life (-0.40 kg CO2e/unit):</w:t>
      </w:r>
      <w:r>
        <w:t xml:space="preserve"> </w:t>
      </w:r>
      <w:r>
        <w:t xml:space="preserve">The high recyclability (</w:t>
      </w:r>
      <w:r>
        <w:rPr>
          <w:bCs/>
          <w:b/>
        </w:rPr>
        <w:t xml:space="preserve">yxfgepotwi</w:t>
      </w:r>
      <w:r>
        <w:t xml:space="preserve"> </w:t>
      </w:r>
      <w:r>
        <w:t xml:space="preserve">- 60% illustrative) and presence of</w:t>
      </w:r>
      <w:r>
        <w:t xml:space="preserve"> </w:t>
      </w:r>
      <w:r>
        <w:rPr>
          <w:bCs/>
          <w:b/>
        </w:rPr>
        <w:t xml:space="preserve">mqdhwknspl</w:t>
      </w:r>
      <w:r>
        <w:t xml:space="preserve"> </w:t>
      </w:r>
      <w:r>
        <w:t xml:space="preserve">(Regional Take-back Scheme) result in a net carbon benefit at EoL, indicating effective circular economy strategies.</w:t>
      </w:r>
    </w:p>
    <w:bookmarkEnd w:id="47"/>
    <w:bookmarkStart w:id="48" w:name="reliability-and-limitations"/>
    <w:p>
      <w:pPr>
        <w:pStyle w:val="Heading3"/>
      </w:pPr>
      <w:r>
        <w:t xml:space="preserve">4.2. Reliability and Limitations</w:t>
      </w:r>
    </w:p>
    <w:p>
      <w:pPr>
        <w:pStyle w:val="FirstParagraph"/>
      </w:pPr>
      <w:r>
        <w:t xml:space="preserve">The reliability of this PCF analysis is contingent on the accuracy and completeness of the input data. Key considerations include:</w:t>
      </w:r>
    </w:p>
    <w:p>
      <w:pPr>
        <w:numPr>
          <w:ilvl w:val="0"/>
          <w:numId w:val="1017"/>
        </w:numPr>
        <w:pStyle w:val="Compact"/>
      </w:pPr>
      <w:r>
        <w:rPr>
          <w:bCs/>
          <w:b/>
        </w:rPr>
        <w:t xml:space="preserve">Illustrative Data Usage:</w:t>
      </w:r>
      <w:r>
        <w:t xml:space="preserve"> </w:t>
      </w:r>
      <w:r>
        <w:t xml:space="preserve">Due to the descriptive string format of several key parameters (e.g., BOM \'qpqunnfo\', transport \'nhdimflnsn\', energy \'pkuwukhuwy\', use phase \'ovkohmkuwy\', EoL \'yxfgepotwi\'), illustrative numerical values and generic industry emission factors (e.g., from Ecoinvent/DEFRA) were employed for calculation purposes. For a fully robust assessment, precise, primary data for each parameter would be essential.</w:t>
      </w:r>
    </w:p>
    <w:p>
      <w:pPr>
        <w:numPr>
          <w:ilvl w:val="0"/>
          <w:numId w:val="1017"/>
        </w:numPr>
        <w:pStyle w:val="Compact"/>
      </w:pPr>
      <w:r>
        <w:rPr>
          <w:bCs/>
          <w:b/>
        </w:rPr>
        <w:t xml:space="preserve">System Boundary Assumptions:</w:t>
      </w:r>
      <w:r>
        <w:t xml:space="preserve"> </w:t>
      </w:r>
      <w:r>
        <w:t xml:space="preserve">While extending beyond \'factory_gate\' for a comprehensive view, specific details on all intermediate stages of a global supply chain (China production, Europe focused supply chain) would enhance precision.</w:t>
      </w:r>
    </w:p>
    <w:p>
      <w:pPr>
        <w:numPr>
          <w:ilvl w:val="0"/>
          <w:numId w:val="1017"/>
        </w:numPr>
        <w:pStyle w:val="Compact"/>
      </w:pPr>
      <w:r>
        <w:rPr>
          <w:bCs/>
          <w:b/>
        </w:rPr>
        <w:t xml:space="preserve">LSR Standard Application:</w:t>
      </w:r>
      <w:r>
        <w:t xml:space="preserve"> </w:t>
      </w:r>
      <w:r>
        <w:t xml:space="preserve">The 2026 LSR Standard principles were acknowledged; however, specific land-use change data or detailed carbon removal activities were not provided as part of the input, so no explicit LSR calculations could be performed. Its influence is implicitly considered in overall methodology adherence.</w:t>
      </w:r>
    </w:p>
    <w:bookmarkEnd w:id="48"/>
    <w:bookmarkStart w:id="49" w:name="recommendations-for-reduction"/>
    <w:p>
      <w:pPr>
        <w:pStyle w:val="Heading3"/>
      </w:pPr>
      <w:r>
        <w:t xml:space="preserve">4.3. Recommendations for Reduction</w:t>
      </w:r>
    </w:p>
    <w:p>
      <w:pPr>
        <w:pStyle w:val="FirstParagraph"/>
      </w:pPr>
      <w:r>
        <w:t xml:space="preserve">Based on the identified hotspots, zlzwvuwssu should focus on the following to reduce the PCF of rejyirloyp:</w:t>
      </w:r>
    </w:p>
    <w:p>
      <w:pPr>
        <w:numPr>
          <w:ilvl w:val="0"/>
          <w:numId w:val="1018"/>
        </w:numPr>
        <w:pStyle w:val="Compact"/>
      </w:pPr>
      <w:r>
        <w:rPr>
          <w:bCs/>
          <w:b/>
        </w:rPr>
        <w:t xml:space="preserve">Optimize Use Phase Energy:</w:t>
      </w:r>
      <w:r>
        <w:t xml:space="preserve"> </w:t>
      </w:r>
      <w:r>
        <w:t xml:space="preserve">Invest in R&amp;D to improve the energy efficiency of rejyirloyp during its operational lifespan. Explore low-power modes, extend battery life, or transition to alternative energy sources for the product\'s use.</w:t>
      </w:r>
    </w:p>
    <w:p>
      <w:pPr>
        <w:numPr>
          <w:ilvl w:val="0"/>
          <w:numId w:val="1018"/>
        </w:numPr>
        <w:pStyle w:val="Compact"/>
      </w:pPr>
      <w:r>
        <w:rPr>
          <w:bCs/>
          <w:b/>
        </w:rPr>
        <w:t xml:space="preserve">Material Decarbonization:</w:t>
      </w:r>
      <w:r>
        <w:t xml:space="preserve"> </w:t>
      </w:r>
      <w:r>
        <w:t xml:space="preserve">Engage with suppliers to source lower-carbon materials for the "Electronics Board" and "Steel Casing." Explore lightweighting opportunities and the use of recycled content in materials.</w:t>
      </w:r>
    </w:p>
    <w:p>
      <w:pPr>
        <w:numPr>
          <w:ilvl w:val="0"/>
          <w:numId w:val="1018"/>
        </w:numPr>
        <w:pStyle w:val="Compact"/>
      </w:pPr>
      <w:r>
        <w:rPr>
          <w:bCs/>
          <w:b/>
        </w:rPr>
        <w:t xml:space="preserve">Increase Renewable Energy Sourcing:</w:t>
      </w:r>
      <w:r>
        <w:t xml:space="preserve"> </w:t>
      </w:r>
      <w:r>
        <w:t xml:space="preserve">Continue to increase the percentage of renewable energy (beyond</w:t>
      </w:r>
      <w:r>
        <w:t xml:space="preserve"> </w:t>
      </w:r>
      <w:r>
        <w:rPr>
          <w:bCs/>
          <w:b/>
        </w:rPr>
        <w:t xml:space="preserve">pkuwukhuwy</w:t>
      </w:r>
      <w:r>
        <w:t xml:space="preserve">) utilized in manufacturing facilities in China, potentially through on-site generation or direct power purchase agreements.</w:t>
      </w:r>
    </w:p>
    <w:p>
      <w:pPr>
        <w:numPr>
          <w:ilvl w:val="0"/>
          <w:numId w:val="1018"/>
        </w:numPr>
        <w:pStyle w:val="Compact"/>
      </w:pPr>
      <w:r>
        <w:rPr>
          <w:bCs/>
          <w:b/>
        </w:rPr>
        <w:t xml:space="preserve">Enhance Circularity:</w:t>
      </w:r>
      <w:r>
        <w:t xml:space="preserve"> </w:t>
      </w:r>
      <w:r>
        <w:t xml:space="preserve">Further expand and promote the</w:t>
      </w:r>
      <w:r>
        <w:t xml:space="preserve"> </w:t>
      </w:r>
      <w:r>
        <w:rPr>
          <w:bCs/>
          <w:b/>
        </w:rPr>
        <w:t xml:space="preserve">mqdhwknspl</w:t>
      </w:r>
      <w:r>
        <w:t xml:space="preserve"> </w:t>
      </w:r>
      <w:r>
        <w:t xml:space="preserve">take-back programs and investigate design for disassembly to improve material recovery rates beyond</w:t>
      </w:r>
      <w:r>
        <w:t xml:space="preserve"> </w:t>
      </w:r>
      <w:r>
        <w:rPr>
          <w:bCs/>
          <w:b/>
        </w:rPr>
        <w:t xml:space="preserve">yxfgepotwi</w:t>
      </w:r>
      <w:r>
        <w:t xml:space="preserve">.</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rejyirloyp</dc:title>
  <dc:creator/>
  <dc:description>Detailed Product Carbon Footprint (PCF) analysis report for rejyirloyp, following GHG Protocol standards and 2026 LSR update. Conducted by kufvilnzom for zlzwvuwssu.</dc:description>
  <dc:language>en</dc:language>
  <cp:keywords/>
  <dcterms:created xsi:type="dcterms:W3CDTF">2026-07-15T07:13:49Z</dcterms:created>
  <dcterms:modified xsi:type="dcterms:W3CDTF">2026-07-15T07:13:49Z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