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qurpnyizfg</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**Product:** qurpnyizfg</w:t>
      </w:r>
    </w:p>
    <w:p>
      <w:pPr>
        <w:pStyle w:val="BodyText"/>
      </w:pPr>
      <w:r>
        <w:t xml:space="preserve">**Company Name:** fgikktndkt</w:t>
      </w:r>
    </w:p>
    <w:p>
      <w:pPr>
        <w:pStyle w:val="BodyText"/>
      </w:pPr>
      <w:r>
        <w:t xml:space="preserve">**Accounting Standard:** GHG Protocol</w:t>
      </w:r>
    </w:p>
    <w:p>
      <w:pPr>
        <w:pStyle w:val="BodyText"/>
      </w:pPr>
      <w:r>
        <w:t xml:space="preserve">**Senior Sustainability Consultant:** rzfoerimoy</w:t>
      </w:r>
    </w:p>
    <w:p>
      <w:pPr>
        <w:pStyle w:val="BodyText"/>
      </w:pPr>
      <w:r>
        <w:t xml:space="preserve">This report is generated based on available data and industry standards. While every effort has been made to ensure accuracy,</w:t>
      </w:r>
      <w:r>
        <w:t xml:space="preserve"> </w:t>
      </w:r>
      <w:r>
        <w:t xml:space="preserve">the figures presented herein are illustrative and depend on the quality and completeness of the input data.</w:t>
      </w:r>
      <w:r>
        <w:t xml:space="preserve"> </w:t>
      </w:r>
      <w:r>
        <w:t xml:space="preserve">For precise calculations, primary data collection is highly recommended.</w:t>
      </w:r>
    </w:p>
    <w:bookmarkEnd w:id="20"/>
    <w:p>
      <w:pPr>
        <w:pStyle w:val="BodyText"/>
      </w:pPr>
      <w:r>
        <w:t xml:space="preserve">Generated Date: May 22, 2026</w:t>
      </w:r>
    </w:p>
    <w:bookmarkStart w:id="42" w:name="X8c8937cbe8a4eb447f79b0daa0d6d6fff073ba3"/>
    <w:p>
      <w:pPr>
        <w:pStyle w:val="Heading1"/>
      </w:pPr>
      <w:r>
        <w:t xml:space="preserve">Product Carbon Footprint Analysis: qurpnyizfg</w:t>
      </w:r>
    </w:p>
    <w:p>
      <w:pPr>
        <w:pStyle w:val="FirstParagraph"/>
      </w:pPr>
      <w:r>
        <w:t xml:space="preserve">Prepared for: fgikktndkt</w:t>
      </w:r>
    </w:p>
    <w:p>
      <w:pPr>
        <w:pStyle w:val="BodyText"/>
      </w:pPr>
      <w:r>
        <w:t xml:space="preserve">Prepared by: rzfoerimoy, Senior Sustainability Consultant</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details a high-detail Product Carbon Footprint (PCF) analysis for the product "qurpnyizfg" manufactured by fgikktndkt.</w:t>
      </w:r>
      <w:r>
        <w:t xml:space="preserve"> </w:t>
      </w:r>
      <w:r>
        <w:t xml:space="preserve">Conducted by rzfoerimoy, Senior Sustainability Consultant, this analysis adheres strictly to the GHG Protocol accounting standard,</w:t>
      </w:r>
      <w:r>
        <w:t xml:space="preserve"> </w:t>
      </w:r>
      <w:r>
        <w:t xml:space="preserve">incorporating the 2026 Land Sector and Removals (LSR) Standard update and ensuring over 95% Scope 3 coverage.</w:t>
      </w:r>
      <w:r>
        <w:t xml:space="preserve"> </w:t>
      </w:r>
      <w:r>
        <w:t xml:space="preserve">The primary goal is to quantify the greenhouse gas emissions associated with "qurpnyizfg" across its lifecycle, from material acquisition</w:t>
      </w:r>
      <w:r>
        <w:t xml:space="preserve"> </w:t>
      </w:r>
      <w:r>
        <w:t xml:space="preserve">through manufacturing, distribution, use, and end-of-life. This assessment highlights key emission hotspots and provides a baseline for</w:t>
      </w:r>
      <w:r>
        <w:t xml:space="preserve"> </w:t>
      </w:r>
      <w:r>
        <w:t xml:space="preserve">fgikktndkt\'s sustainability initiatives and product optimization.</w:t>
      </w:r>
    </w:p>
    <w:bookmarkEnd w:id="21"/>
    <w:p>
      <w:r>
        <w:pict>
          <v:rect style="width:0;height:1.5pt" o:hralign="center" o:hrstd="t" o:hr="t"/>
        </w:pict>
      </w:r>
    </w:p>
    <w:bookmarkStart w:id="23" w:name="introduction"/>
    <w:p>
      <w:pPr>
        <w:pStyle w:val="Heading2"/>
      </w:pPr>
      <w:r>
        <w:t xml:space="preserve">Introduction</w:t>
      </w:r>
    </w:p>
    <w:p>
      <w:pPr>
        <w:pStyle w:val="FirstParagraph"/>
      </w:pPr>
      <w:r>
        <w:t xml:space="preserve">As a Senior Sustainability Consultant specializing in the GHG Protocol, I have performed a comprehensive Product Carbon Footprint (PCF)</w:t>
      </w:r>
      <w:r>
        <w:t xml:space="preserve"> </w:t>
      </w:r>
      <w:r>
        <w:t xml:space="preserve">analysis for fgikktndkt\'s product, qurpnyizfg. This assessment aligns with the latest 2026 GHG Protocol requirements, emphasizing full</w:t>
      </w:r>
      <w:r>
        <w:t xml:space="preserve"> </w:t>
      </w:r>
      <w:r>
        <w:t xml:space="preserve">value chain transparency and the integration of land sector and removals considerations. The accounting standard used is the **GHG Protocol**.</w:t>
      </w:r>
    </w:p>
    <w:bookmarkStart w:id="22" w:name="parameters-overview"/>
    <w:p>
      <w:pPr>
        <w:pStyle w:val="Heading3"/>
      </w:pPr>
      <w:r>
        <w:t xml:space="preserve">Parameters Overview:</w:t>
      </w:r>
    </w:p>
    <w:p>
      <w:pPr>
        <w:numPr>
          <w:ilvl w:val="0"/>
          <w:numId w:val="1001"/>
        </w:numPr>
        <w:pStyle w:val="Compact"/>
      </w:pPr>
      <w:r>
        <w:rPr>
          <w:bCs/>
          <w:b/>
        </w:rPr>
        <w:t xml:space="preserve">Company Name:</w:t>
      </w:r>
      <w:r>
        <w:t xml:space="preserve"> </w:t>
      </w:r>
      <w:r>
        <w:t xml:space="preserve">fgikktndkt</w:t>
      </w:r>
    </w:p>
    <w:p>
      <w:pPr>
        <w:numPr>
          <w:ilvl w:val="0"/>
          <w:numId w:val="1001"/>
        </w:numPr>
        <w:pStyle w:val="Compact"/>
      </w:pPr>
      <w:r>
        <w:rPr>
          <w:bCs/>
          <w:b/>
        </w:rPr>
        <w:t xml:space="preserve">Senior Sustainability Consultant:</w:t>
      </w:r>
      <w:r>
        <w:t xml:space="preserve"> </w:t>
      </w:r>
      <w:r>
        <w:t xml:space="preserve">rzfoerimoy</w:t>
      </w:r>
    </w:p>
    <w:p>
      <w:pPr>
        <w:numPr>
          <w:ilvl w:val="0"/>
          <w:numId w:val="1001"/>
        </w:numPr>
        <w:pStyle w:val="Compact"/>
      </w:pPr>
      <w:r>
        <w:rPr>
          <w:bCs/>
          <w:b/>
        </w:rPr>
        <w:t xml:space="preserve">Product:</w:t>
      </w:r>
      <w:r>
        <w:t xml:space="preserve"> </w:t>
      </w:r>
      <w:r>
        <w:t xml:space="preserve">qurpnyizfg</w:t>
      </w:r>
    </w:p>
    <w:p>
      <w:pPr>
        <w:numPr>
          <w:ilvl w:val="0"/>
          <w:numId w:val="1001"/>
        </w:numPr>
        <w:pStyle w:val="Compact"/>
      </w:pPr>
      <w:r>
        <w:rPr>
          <w:bCs/>
          <w:b/>
        </w:rPr>
        <w:t xml:space="preserve">Functional Unit:</w:t>
      </w:r>
      <w:r>
        <w:t xml:space="preserve"> </w:t>
      </w:r>
      <w:r>
        <w:t xml:space="preserve">1.0 unit</w:t>
      </w:r>
    </w:p>
    <w:p>
      <w:pPr>
        <w:numPr>
          <w:ilvl w:val="0"/>
          <w:numId w:val="1001"/>
        </w:numPr>
        <w:pStyle w:val="Compact"/>
      </w:pPr>
      <w:r>
        <w:rPr>
          <w:bCs/>
          <w:b/>
        </w:rPr>
        <w:t xml:space="preserve">System Boundary:</w:t>
      </w:r>
      <w:r>
        <w:t xml:space="preserve"> </w:t>
      </w:r>
      <w:r>
        <w:t xml:space="preserve">factory_gate (cradle-to-gate plus downstream phases for holistic view)</w:t>
      </w:r>
    </w:p>
    <w:p>
      <w:pPr>
        <w:numPr>
          <w:ilvl w:val="0"/>
          <w:numId w:val="1001"/>
        </w:numPr>
        <w:pStyle w:val="Compact"/>
      </w:pPr>
      <w:r>
        <w:rPr>
          <w:bCs/>
          <w:b/>
        </w:rPr>
        <w:t xml:space="preserve">Geographic Scope:</w:t>
      </w:r>
      <w:r>
        <w:t xml:space="preserve"> </w:t>
      </w:r>
      <w:r>
        <w:t xml:space="preserve">Final Production Country: China, Supply Chain Focus: Europe Focused</w:t>
      </w:r>
    </w:p>
    <w:p>
      <w:pPr>
        <w:numPr>
          <w:ilvl w:val="0"/>
          <w:numId w:val="1001"/>
        </w:numPr>
        <w:pStyle w:val="Compact"/>
      </w:pPr>
      <w:r>
        <w:rPr>
          <w:bCs/>
          <w:b/>
        </w:rPr>
        <w:t xml:space="preserve">Accounting Standard:</w:t>
      </w:r>
      <w:r>
        <w:t xml:space="preserve"> </w:t>
      </w:r>
      <w:r>
        <w:t xml:space="preserve">GHG Protocol</w:t>
      </w:r>
    </w:p>
    <w:bookmarkEnd w:id="22"/>
    <w:bookmarkEnd w:id="23"/>
    <w:p>
      <w:r>
        <w:pict>
          <v:rect style="width:0;height:1.5pt" o:hralign="center" o:hrstd="t" o:hr="t"/>
        </w:pict>
      </w:r>
    </w:p>
    <w:bookmarkStart w:id="38" w:name="methodology"/>
    <w:p>
      <w:pPr>
        <w:pStyle w:val="Heading2"/>
      </w:pPr>
      <w:r>
        <w:t xml:space="preserve">Methodology</w:t>
      </w:r>
    </w:p>
    <w:p>
      <w:pPr>
        <w:pStyle w:val="FirstParagraph"/>
      </w:pPr>
      <w:r>
        <w:t xml:space="preserve">The Product Carbon Footprint (PCF) analysis for qurpnyizfg followed the five-step methodology as prescribed by the GHG Protocol Product Standard:</w:t>
      </w:r>
    </w:p>
    <w:p>
      <w:pPr>
        <w:numPr>
          <w:ilvl w:val="0"/>
          <w:numId w:val="1002"/>
        </w:numPr>
        <w:pStyle w:val="Heading3"/>
      </w:pPr>
      <w:bookmarkStart w:id="24" w:name="define-scope"/>
      <w:r>
        <w:t xml:space="preserve">1. Define Scope</w:t>
      </w:r>
      <w:bookmarkEnd w:id="24"/>
    </w:p>
    <w:p>
      <w:pPr>
        <w:numPr>
          <w:ilvl w:val="0"/>
          <w:numId w:val="1000"/>
        </w:numPr>
      </w:pPr>
      <w:r>
        <w:t xml:space="preserve">The scope of this PCF analysis for qurpnyizfg defines the functional unit, system boundaries, geographic scope, and allocation rules.</w:t>
      </w:r>
    </w:p>
    <w:p>
      <w:pPr>
        <w:numPr>
          <w:ilvl w:val="1"/>
          <w:numId w:val="1003"/>
        </w:numPr>
        <w:pStyle w:val="Compact"/>
      </w:pPr>
      <w:r>
        <w:rPr>
          <w:bCs/>
          <w:b/>
        </w:rPr>
        <w:t xml:space="preserve">Functional Unit:</w:t>
      </w:r>
      <w:r>
        <w:t xml:space="preserve"> </w:t>
      </w:r>
      <w:r>
        <w:t xml:space="preserve">1.0 unit of qurpnyizfg. This serves as the reference basis for all quantified environmental impacts.</w:t>
      </w:r>
    </w:p>
    <w:p>
      <w:pPr>
        <w:numPr>
          <w:ilvl w:val="1"/>
          <w:numId w:val="1003"/>
        </w:numPr>
        <w:pStyle w:val="Compact"/>
      </w:pPr>
      <w:r>
        <w:rPr>
          <w:bCs/>
          <w:b/>
        </w:rPr>
        <w:t xml:space="preserve">System Boundary:</w:t>
      </w:r>
      <w:r>
        <w:t xml:space="preserve"> </w:t>
      </w:r>
      <w:r>
        <w:t xml:space="preserve">A \'cradle-to-grave\' approach is employed, starting from raw material extraction (cradle), through manufacturing processes at the \'factory_gate\', distribution, product use, and finally, its end-of-life treatment (grave). While the specified boundary was `factory_gate`, for a comprehensive PCF as requested, downstream phases (use and EoL) are also included to provide a full lifecycle perspective, covering relevant Scope 3 categories.</w:t>
      </w:r>
    </w:p>
    <w:p>
      <w:pPr>
        <w:numPr>
          <w:ilvl w:val="1"/>
          <w:numId w:val="1003"/>
        </w:numPr>
        <w:pStyle w:val="Compact"/>
      </w:pPr>
      <w:r>
        <w:rPr>
          <w:bCs/>
          <w:b/>
        </w:rPr>
        <w:t xml:space="preserve">Geographic Scope:</w:t>
      </w:r>
      <w:r>
        <w:t xml:space="preserve"> </w:t>
      </w:r>
      <w:r>
        <w:t xml:space="preserve">Final production occurs in China, with a significant supply chain focus on Europe for raw materials and components, and distribution to European markets. Emission factors are selected to reflect these regional specificities where possible.</w:t>
      </w:r>
    </w:p>
    <w:p>
      <w:pPr>
        <w:numPr>
          <w:ilvl w:val="1"/>
          <w:numId w:val="1003"/>
        </w:numPr>
        <w:pStyle w:val="Compact"/>
      </w:pPr>
      <w:r>
        <w:rPr>
          <w:bCs/>
          <w:b/>
        </w:rPr>
        <w:t xml:space="preserve">Allocation:</w:t>
      </w:r>
      <w:r>
        <w:t xml:space="preserve"> </w:t>
      </w:r>
      <w:r>
        <w:t xml:space="preserve">Emissions are allocated directly to the functional unit. In cases of multi-product processes, mass-based or economic allocation is applied based on best available data and industry practices.</w:t>
      </w:r>
    </w:p>
    <w:p>
      <w:pPr>
        <w:numPr>
          <w:ilvl w:val="0"/>
          <w:numId w:val="1002"/>
        </w:numPr>
        <w:pStyle w:val="Heading3"/>
      </w:pPr>
      <w:bookmarkStart w:id="25" w:name="map-lifecycle-lci-inventory-stages"/>
      <w:r>
        <w:t xml:space="preserve">2. Map Lifecycle (LCI Inventory Stages)</w:t>
      </w:r>
      <w:bookmarkEnd w:id="25"/>
    </w:p>
    <w:p>
      <w:pPr>
        <w:numPr>
          <w:ilvl w:val="0"/>
          <w:numId w:val="1000"/>
        </w:numPr>
      </w:pPr>
      <w:r>
        <w:t xml:space="preserve">The lifecycle of qurpnyizfg was mapped into distinct stages to facilitate data collection and emission calculation.</w:t>
      </w:r>
      <w:r>
        <w:t xml:space="preserve"> </w:t>
      </w:r>
      <w:r>
        <w:t xml:space="preserve">The primary stages include:</w:t>
      </w:r>
    </w:p>
    <w:p>
      <w:pPr>
        <w:numPr>
          <w:ilvl w:val="1"/>
          <w:numId w:val="1004"/>
        </w:numPr>
        <w:pStyle w:val="Compact"/>
      </w:pPr>
      <w:r>
        <w:rPr>
          <w:bCs/>
          <w:b/>
        </w:rPr>
        <w:t xml:space="preserve">Materials Acquisition &amp; Pre-processing (Upstream):</w:t>
      </w:r>
      <w:r>
        <w:t xml:space="preserve"> </w:t>
      </w:r>
      <w:r>
        <w:t xml:space="preserve">Extraction and processing of raw materials.</w:t>
      </w:r>
    </w:p>
    <w:p>
      <w:pPr>
        <w:numPr>
          <w:ilvl w:val="1"/>
          <w:numId w:val="1004"/>
        </w:numPr>
        <w:pStyle w:val="Compact"/>
      </w:pPr>
      <w:r>
        <w:rPr>
          <w:bCs/>
          <w:b/>
        </w:rPr>
        <w:t xml:space="preserve">Manufacturing (Core Production):</w:t>
      </w:r>
      <w:r>
        <w:t xml:space="preserve"> </w:t>
      </w:r>
      <w:r>
        <w:t xml:space="preserve">Assembly and production processes at the fgikktndkt facility in China.</w:t>
      </w:r>
    </w:p>
    <w:p>
      <w:pPr>
        <w:numPr>
          <w:ilvl w:val="1"/>
          <w:numId w:val="1004"/>
        </w:numPr>
        <w:pStyle w:val="Compact"/>
      </w:pPr>
      <w:r>
        <w:rPr>
          <w:bCs/>
          <w:b/>
        </w:rPr>
        <w:t xml:space="preserve">Transportation &amp; Distribution (Downstream):</w:t>
      </w:r>
      <w:r>
        <w:t xml:space="preserve"> </w:t>
      </w:r>
      <w:r>
        <w:t xml:space="preserve">Logistics from the factory to the end-user, including last-mile delivery.</w:t>
      </w:r>
    </w:p>
    <w:p>
      <w:pPr>
        <w:numPr>
          <w:ilvl w:val="1"/>
          <w:numId w:val="1004"/>
        </w:numPr>
        <w:pStyle w:val="Compact"/>
      </w:pPr>
      <w:r>
        <w:rPr>
          <w:bCs/>
          <w:b/>
        </w:rPr>
        <w:t xml:space="preserve">Product Use Phase (Downstream):</w:t>
      </w:r>
      <w:r>
        <w:t xml:space="preserve"> </w:t>
      </w:r>
      <w:r>
        <w:t xml:space="preserve">Energy consumption and other impacts during the product\'s lifespan.</w:t>
      </w:r>
    </w:p>
    <w:p>
      <w:pPr>
        <w:numPr>
          <w:ilvl w:val="1"/>
          <w:numId w:val="1004"/>
        </w:numPr>
        <w:pStyle w:val="Compact"/>
      </w:pPr>
      <w:r>
        <w:rPr>
          <w:bCs/>
          <w:b/>
        </w:rPr>
        <w:t xml:space="preserve">End-of-Life (Downstream):</w:t>
      </w:r>
      <w:r>
        <w:t xml:space="preserve"> </w:t>
      </w:r>
      <w:r>
        <w:t xml:space="preserve">Disposal, recycling, and recovery processes.</w:t>
      </w:r>
    </w:p>
    <w:p>
      <w:pPr>
        <w:numPr>
          <w:ilvl w:val="0"/>
          <w:numId w:val="1002"/>
        </w:numPr>
        <w:pStyle w:val="Heading3"/>
      </w:pPr>
      <w:bookmarkStart w:id="26" w:name="Xb57f50a89bf1f3f1837369be949d9d60d6c1272"/>
      <w:r>
        <w:t xml:space="preserve">3. Collect Data (Primary/Secondary Data Points)</w:t>
      </w:r>
      <w:bookmarkEnd w:id="26"/>
    </w:p>
    <w:p>
      <w:pPr>
        <w:numPr>
          <w:ilvl w:val="0"/>
          <w:numId w:val="1000"/>
        </w:numPr>
      </w:pPr>
      <w:r>
        <w:t xml:space="preserve">Data was collected from various sources, prioritizing specific company data where provided, and supplementing with industry-average secondary data.</w:t>
      </w:r>
    </w:p>
    <w:p>
      <w:pPr>
        <w:numPr>
          <w:ilvl w:val="0"/>
          <w:numId w:val="1000"/>
        </w:numPr>
        <w:pStyle w:val="Heading4"/>
      </w:pPr>
      <w:bookmarkStart w:id="27" w:name="detailed-bill-of-materials-bom-dyeduqqg"/>
      <w:r>
        <w:t xml:space="preserve">Detailed Bill of Materials (BOM): dyeduqqg</w:t>
      </w:r>
      <w:bookmarkEnd w:id="27"/>
    </w:p>
    <w:p>
      <w:pPr>
        <w:numPr>
          <w:ilvl w:val="0"/>
          <w:numId w:val="1000"/>
        </w:numPr>
      </w:pPr>
      <w:r>
        <w:t xml:space="preserve">The following Bill of Materials (BOM) was used for high-accuracy material impact calculation. The \'Total Carbon\' values represent the GHG emissions (in kg CO2e) associated with the acquisition and processing of each material, often including upstream transportation to the component manufacturer, reflecting Scope 3, Category 1 (Purchased Goods and Services).</w:t>
      </w:r>
    </w:p>
    <w:tbl>
      <w:tblPr>
        <w:tblStyle w:val="Table"/>
        <w:tblW w:type="auto" w:w="0"/>
        <w:tblLook w:firstRow="1" w:lastRow="1" w:firstColumn="0" w:lastColumn="0" w:noHBand="0" w:noVBand="0" w:val="0020"/>
        <w:jc w:val="start"/>
        <w:tblInd w:w="720" w:type="dxa"/>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001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7.50</w:t>
            </w:r>
          </w:p>
        </w:tc>
      </w:tr>
      <w:tr>
        <w:tc>
          <w:tcPr/>
          <w:p>
            <w:pPr>
              <w:pStyle w:val="Compact"/>
              <w:jc w:val="left"/>
            </w:pPr>
            <w:r>
              <w:t xml:space="preserve">002</w:t>
            </w:r>
          </w:p>
        </w:tc>
        <w:tc>
          <w:tcPr/>
          <w:p>
            <w:pPr>
              <w:pStyle w:val="Compact"/>
              <w:jc w:val="left"/>
            </w:pPr>
            <w:r>
              <w:t xml:space="preserve">Plastic Housing</w:t>
            </w:r>
          </w:p>
        </w:tc>
        <w:tc>
          <w:tcPr/>
          <w:p>
            <w:pPr>
              <w:pStyle w:val="Compact"/>
              <w:jc w:val="left"/>
            </w:pPr>
            <w:r>
              <w:t xml:space="preserve">Plastics</w:t>
            </w:r>
          </w:p>
        </w:tc>
        <w:tc>
          <w:tcPr/>
          <w:p>
            <w:pPr>
              <w:pStyle w:val="Compact"/>
              <w:jc w:val="left"/>
            </w:pPr>
            <w:r>
              <w:t xml:space="preserve">Injection Mold</w:t>
            </w:r>
          </w:p>
        </w:tc>
        <w:tc>
          <w:tcPr/>
          <w:p>
            <w:pPr>
              <w:pStyle w:val="Compact"/>
              <w:jc w:val="left"/>
            </w:pPr>
            <w:r>
              <w:t xml:space="preserve">0.8</w:t>
            </w:r>
          </w:p>
        </w:tc>
        <w:tc>
          <w:tcPr/>
          <w:p>
            <w:pPr>
              <w:pStyle w:val="Compact"/>
              <w:jc w:val="left"/>
            </w:pPr>
            <w:r>
              <w:t xml:space="preserve">kg</w:t>
            </w:r>
          </w:p>
        </w:tc>
        <w:tc>
          <w:tcPr/>
          <w:p>
            <w:pPr>
              <w:pStyle w:val="Compact"/>
              <w:jc w:val="left"/>
            </w:pPr>
            <w:r>
              <w:t xml:space="preserve">3.0</w:t>
            </w:r>
          </w:p>
        </w:tc>
        <w:tc>
          <w:tcPr/>
          <w:p>
            <w:pPr>
              <w:pStyle w:val="Compact"/>
              <w:jc w:val="left"/>
            </w:pPr>
            <w:r>
              <w:t xml:space="preserve">2.40</w:t>
            </w:r>
          </w:p>
        </w:tc>
      </w:tr>
      <w:tr>
        <w:tc>
          <w:tcPr/>
          <w:p>
            <w:pPr>
              <w:pStyle w:val="Compact"/>
              <w:jc w:val="left"/>
            </w:pPr>
            <w:r>
              <w:t xml:space="preserve">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2.00</w:t>
            </w:r>
          </w:p>
        </w:tc>
      </w:tr>
      <w:tr>
        <w:tc>
          <w:tcPr/>
          <w:p>
            <w:pPr>
              <w:pStyle w:val="Compact"/>
              <w:jc w:val="left"/>
            </w:pPr>
            <w:r>
              <w:t xml:space="preserve">004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5.0</w:t>
            </w:r>
          </w:p>
        </w:tc>
        <w:tc>
          <w:tcPr/>
          <w:p>
            <w:pPr>
              <w:pStyle w:val="Compact"/>
              <w:jc w:val="left"/>
            </w:pPr>
            <w:r>
              <w:t xml:space="preserve">1.00</w:t>
            </w:r>
          </w:p>
        </w:tc>
      </w:tr>
      <w:tr>
        <w:tc>
          <w:tcPr/>
          <w:p>
            <w:pPr>
              <w:pStyle w:val="Compact"/>
              <w:jc w:val="left"/>
            </w:pPr>
            <w:r>
              <w:t xml:space="preserve">005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1.5</w:t>
            </w:r>
          </w:p>
        </w:tc>
        <w:tc>
          <w:tcPr/>
          <w:p>
            <w:pPr>
              <w:pStyle w:val="Compact"/>
              <w:jc w:val="left"/>
            </w:pPr>
            <w:r>
              <w:t xml:space="preserve">0.45</w:t>
            </w:r>
          </w:p>
        </w:tc>
      </w:tr>
      <w:tr>
        <w:tc>
          <w:tcPr>
            <w:gridSpan w:val="7"/>
          </w:tcPr>
          <w:p>
            <w:pPr>
              <w:pStyle w:val="Compact"/>
              <w:jc w:val="right"/>
            </w:pPr>
            <w:r>
              <w:rPr>
                <w:bCs/>
                <w:b/>
              </w:rPr>
              <w:t xml:space="preserve">Total Material Emissions (Illustrative)</w:t>
            </w:r>
          </w:p>
        </w:tc>
        <w:tc>
          <w:tcPr/>
          <w:p>
            <w:pPr>
              <w:pStyle w:val="Compact"/>
              <w:jc w:val="left"/>
            </w:pPr>
            <w:r>
              <w:rPr>
                <w:bCs/>
                <w:b/>
              </w:rPr>
              <w:t xml:space="preserve">13.35 kg CO2e</w:t>
            </w:r>
          </w:p>
        </w:tc>
      </w:tr>
    </w:tbl>
    <w:p>
      <w:pPr>
        <w:numPr>
          <w:ilvl w:val="0"/>
          <w:numId w:val="1000"/>
        </w:numPr>
        <w:pStyle w:val="Heading4"/>
      </w:pPr>
      <w:bookmarkStart w:id="28" w:name="production-phase-energy-inputs"/>
      <w:r>
        <w:t xml:space="preserve">Production Phase Energy Inputs:</w:t>
      </w:r>
      <w:bookmarkEnd w:id="28"/>
    </w:p>
    <w:p>
      <w:pPr>
        <w:numPr>
          <w:ilvl w:val="1"/>
          <w:numId w:val="1005"/>
        </w:numPr>
        <w:pStyle w:val="Compact"/>
      </w:pPr>
      <w:r>
        <w:rPr>
          <w:bCs/>
          <w:b/>
        </w:rPr>
        <w:t xml:space="preserve">Energy Intensity (kWh/unit):</w:t>
      </w:r>
      <w:r>
        <w:t xml:space="preserve"> </w:t>
      </w:r>
      <w:r>
        <w:t xml:space="preserve">krzrirnnpo (e.g., 2.5 kWh/unit)</w:t>
      </w:r>
    </w:p>
    <w:p>
      <w:pPr>
        <w:numPr>
          <w:ilvl w:val="1"/>
          <w:numId w:val="1005"/>
        </w:numPr>
        <w:pStyle w:val="Compact"/>
      </w:pPr>
      <w:r>
        <w:rPr>
          <w:bCs/>
          <w:b/>
        </w:rPr>
        <w:t xml:space="preserve">Renewable Energy Usage:</w:t>
      </w:r>
      <w:r>
        <w:t xml:space="preserve"> </w:t>
      </w:r>
      <w:r>
        <w:t xml:space="preserve">swspvdqeni (e.g., 75%) - Applied to purchased electricity.</w:t>
      </w:r>
    </w:p>
    <w:p>
      <w:pPr>
        <w:numPr>
          <w:ilvl w:val="1"/>
          <w:numId w:val="1005"/>
        </w:numPr>
        <w:pStyle w:val="Compact"/>
      </w:pPr>
      <w:r>
        <w:t xml:space="preserve">**Non-Renewable Energy Percentage:** (100% - 75%) = 25%</w:t>
      </w:r>
    </w:p>
    <w:p>
      <w:pPr>
        <w:numPr>
          <w:ilvl w:val="1"/>
          <w:numId w:val="1005"/>
        </w:numPr>
        <w:pStyle w:val="Compact"/>
      </w:pPr>
      <w:r>
        <w:t xml:space="preserve">**Non-Renewable Energy Consumption:** 2.5 kWh/unit * 0.25 = 0.625 kWh/unit</w:t>
      </w:r>
    </w:p>
    <w:p>
      <w:pPr>
        <w:numPr>
          <w:ilvl w:val="1"/>
          <w:numId w:val="1005"/>
        </w:numPr>
        <w:pStyle w:val="Compact"/>
      </w:pPr>
      <w:r>
        <w:t xml:space="preserve">**Illustrative China Grid Emission Factor:** 0.6 kg CO2e/kWh (Source: Based on industry average, e.g., IEA/Ecoinvent for China)</w:t>
      </w:r>
    </w:p>
    <w:p>
      <w:pPr>
        <w:numPr>
          <w:ilvl w:val="0"/>
          <w:numId w:val="1000"/>
        </w:numPr>
        <w:pStyle w:val="Heading4"/>
      </w:pPr>
      <w:bookmarkStart w:id="29" w:name="logistics-data"/>
      <w:r>
        <w:t xml:space="preserve">Logistics Data:</w:t>
      </w:r>
      <w:bookmarkEnd w:id="29"/>
    </w:p>
    <w:p>
      <w:pPr>
        <w:numPr>
          <w:ilvl w:val="0"/>
          <w:numId w:val="1000"/>
        </w:numPr>
      </w:pPr>
      <w:r>
        <w:t xml:space="preserve">Transportation data for the distribution of the final product from the factory to the end-user:</w:t>
      </w:r>
    </w:p>
    <w:p>
      <w:pPr>
        <w:numPr>
          <w:ilvl w:val="1"/>
          <w:numId w:val="1006"/>
        </w:numPr>
        <w:pStyle w:val="Compact"/>
      </w:pPr>
      <w:r>
        <w:rPr>
          <w:bCs/>
          <w:b/>
        </w:rPr>
        <w:t xml:space="preserve">Main Transport Mode:</w:t>
      </w:r>
      <w:r>
        <w:t xml:space="preserve"> </w:t>
      </w:r>
      <w:r>
        <w:t xml:space="preserve">Select Mode (e.g., Ocean Freight)</w:t>
      </w:r>
    </w:p>
    <w:p>
      <w:pPr>
        <w:numPr>
          <w:ilvl w:val="1"/>
          <w:numId w:val="1006"/>
        </w:numPr>
        <w:pStyle w:val="Compact"/>
      </w:pPr>
      <w:r>
        <w:rPr>
          <w:bCs/>
          <w:b/>
        </w:rPr>
        <w:t xml:space="preserve">Main Transport Distance:</w:t>
      </w:r>
      <w:r>
        <w:t xml:space="preserve"> </w:t>
      </w:r>
      <w:r>
        <w:t xml:space="preserve">omnruwpmmx (e.g., 8,000 km, from China to Europe distribution center)</w:t>
      </w:r>
    </w:p>
    <w:p>
      <w:pPr>
        <w:numPr>
          <w:ilvl w:val="1"/>
          <w:numId w:val="1006"/>
        </w:numPr>
        <w:pStyle w:val="Compact"/>
      </w:pPr>
      <w:r>
        <w:rPr>
          <w:bCs/>
          <w:b/>
        </w:rPr>
        <w:t xml:space="preserve">Last-Mile Delivery Channel:</w:t>
      </w:r>
      <w:r>
        <w:t xml:space="preserve"> </w:t>
      </w:r>
      <w:r>
        <w:t xml:space="preserve">Delivery Type (e.g., Road Freight via Parcel Service)</w:t>
      </w:r>
    </w:p>
    <w:p>
      <w:pPr>
        <w:numPr>
          <w:ilvl w:val="1"/>
          <w:numId w:val="1006"/>
        </w:numPr>
        <w:pStyle w:val="Compact"/>
      </w:pPr>
      <w:r>
        <w:rPr>
          <w:bCs/>
          <w:b/>
        </w:rPr>
        <w:t xml:space="preserve">Last-Mile Distance (Illustrative):</w:t>
      </w:r>
      <w:r>
        <w:t xml:space="preserve"> </w:t>
      </w:r>
      <w:r>
        <w:t xml:space="preserve">500 km</w:t>
      </w:r>
    </w:p>
    <w:p>
      <w:pPr>
        <w:numPr>
          <w:ilvl w:val="1"/>
          <w:numId w:val="1006"/>
        </w:numPr>
        <w:pStyle w:val="Compact"/>
      </w:pPr>
      <w:r>
        <w:rPr>
          <w:bCs/>
          <w:b/>
        </w:rPr>
        <w:t xml:space="preserve">Product Unit Weight (Illustrative):</w:t>
      </w:r>
      <w:r>
        <w:t xml:space="preserve"> </w:t>
      </w:r>
      <w:r>
        <w:t xml:space="preserve">~2.0 kg (Based on sum of BOM components + minor additions)</w:t>
      </w:r>
    </w:p>
    <w:p>
      <w:pPr>
        <w:numPr>
          <w:ilvl w:val="1"/>
          <w:numId w:val="1006"/>
        </w:numPr>
        <w:pStyle w:val="Compact"/>
      </w:pPr>
      <w:r>
        <w:rPr>
          <w:bCs/>
          <w:b/>
        </w:rPr>
        <w:t xml:space="preserve">Illustrative Ocean Freight Emission Factor:</w:t>
      </w:r>
      <w:r>
        <w:t xml:space="preserve"> </w:t>
      </w:r>
      <w:r>
        <w:t xml:space="preserve">0.01 kg CO2e/tonne-km (Source: DEFRA/Ecoinvent for container ship)</w:t>
      </w:r>
    </w:p>
    <w:p>
      <w:pPr>
        <w:numPr>
          <w:ilvl w:val="1"/>
          <w:numId w:val="1006"/>
        </w:numPr>
        <w:pStyle w:val="Compact"/>
      </w:pPr>
      <w:r>
        <w:rPr>
          <w:bCs/>
          <w:b/>
        </w:rPr>
        <w:t xml:space="preserve">Illustrative Road Freight (Parcel) Emission Factor:</w:t>
      </w:r>
      <w:r>
        <w:t xml:space="preserve"> </w:t>
      </w:r>
      <w:r>
        <w:t xml:space="preserve">0.15 kg CO2e/tonne-km (Source: DEFRA/Ecoinvent for light commercial vehicle/parcel service)</w:t>
      </w:r>
    </w:p>
    <w:p>
      <w:pPr>
        <w:numPr>
          <w:ilvl w:val="0"/>
          <w:numId w:val="1000"/>
        </w:numPr>
        <w:pStyle w:val="Heading4"/>
      </w:pPr>
      <w:bookmarkStart w:id="30" w:name="use-phase-data"/>
      <w:r>
        <w:t xml:space="preserve">Use Phase Data:</w:t>
      </w:r>
      <w:bookmarkEnd w:id="30"/>
    </w:p>
    <w:p>
      <w:pPr>
        <w:numPr>
          <w:ilvl w:val="1"/>
          <w:numId w:val="1007"/>
        </w:numPr>
        <w:pStyle w:val="Compact"/>
      </w:pPr>
      <w:r>
        <w:rPr>
          <w:bCs/>
          <w:b/>
        </w:rPr>
        <w:t xml:space="preserve">Product Lifespan:</w:t>
      </w:r>
      <w:r>
        <w:t xml:space="preserve"> </w:t>
      </w:r>
      <w:r>
        <w:t xml:space="preserve">sjmnunjdpf (e.g., 5 years)</w:t>
      </w:r>
    </w:p>
    <w:p>
      <w:pPr>
        <w:numPr>
          <w:ilvl w:val="1"/>
          <w:numId w:val="1007"/>
        </w:numPr>
        <w:pStyle w:val="Compact"/>
      </w:pPr>
      <w:r>
        <w:rPr>
          <w:bCs/>
          <w:b/>
        </w:rPr>
        <w:t xml:space="preserve">Energy Consumption in Use:</w:t>
      </w:r>
      <w:r>
        <w:t xml:space="preserve"> </w:t>
      </w:r>
      <w:r>
        <w:t xml:space="preserve">wffigekfpg (e.g., 50 kWh/year)</w:t>
      </w:r>
    </w:p>
    <w:p>
      <w:pPr>
        <w:numPr>
          <w:ilvl w:val="1"/>
          <w:numId w:val="1007"/>
        </w:numPr>
        <w:pStyle w:val="Compact"/>
      </w:pPr>
      <w:r>
        <w:rPr>
          <w:bCs/>
          <w:b/>
        </w:rPr>
        <w:t xml:space="preserve">Total Use Phase Energy:</w:t>
      </w:r>
      <w:r>
        <w:t xml:space="preserve"> </w:t>
      </w:r>
      <w:r>
        <w:t xml:space="preserve">50 kWh/year * 5 years = 250 kWh</w:t>
      </w:r>
    </w:p>
    <w:p>
      <w:pPr>
        <w:numPr>
          <w:ilvl w:val="1"/>
          <w:numId w:val="1007"/>
        </w:numPr>
        <w:pStyle w:val="Compact"/>
      </w:pPr>
      <w:r>
        <w:rPr>
          <w:bCs/>
          <w:b/>
        </w:rPr>
        <w:t xml:space="preserve">Illustrative European Average Grid Emission Factor (for Use Phase):</w:t>
      </w:r>
      <w:r>
        <w:t xml:space="preserve"> </w:t>
      </w:r>
      <w:r>
        <w:t xml:space="preserve">0.25 kg CO2e/kWh (Source: IEA/Ecoinvent for EU27 average)</w:t>
      </w:r>
    </w:p>
    <w:p>
      <w:pPr>
        <w:numPr>
          <w:ilvl w:val="0"/>
          <w:numId w:val="1000"/>
        </w:numPr>
        <w:pStyle w:val="Heading4"/>
      </w:pPr>
      <w:bookmarkStart w:id="31" w:name="end-of-life-eol-scenarios"/>
      <w:r>
        <w:t xml:space="preserve">End-of-Life (EoL) Scenarios:</w:t>
      </w:r>
      <w:bookmarkEnd w:id="31"/>
    </w:p>
    <w:p>
      <w:pPr>
        <w:numPr>
          <w:ilvl w:val="1"/>
          <w:numId w:val="1008"/>
        </w:numPr>
        <w:pStyle w:val="Compact"/>
      </w:pPr>
      <w:r>
        <w:rPr>
          <w:bCs/>
          <w:b/>
        </w:rPr>
        <w:t xml:space="preserve">Recyclability Percentage:</w:t>
      </w:r>
      <w:r>
        <w:t xml:space="preserve"> </w:t>
      </w:r>
      <w:r>
        <w:t xml:space="preserve">rnyqwfkiht (e.g., 80%)</w:t>
      </w:r>
    </w:p>
    <w:p>
      <w:pPr>
        <w:numPr>
          <w:ilvl w:val="1"/>
          <w:numId w:val="1008"/>
        </w:numPr>
        <w:pStyle w:val="Compact"/>
      </w:pPr>
      <w:r>
        <w:rPr>
          <w:bCs/>
          <w:b/>
        </w:rPr>
        <w:t xml:space="preserve">Circular/Take-back Programs:</w:t>
      </w:r>
      <w:r>
        <w:t xml:space="preserve"> </w:t>
      </w:r>
      <w:r>
        <w:t xml:space="preserve">sqxgzqlkgu (e.g., Product buy-back program, enabling higher recycling/reuse rates)</w:t>
      </w:r>
    </w:p>
    <w:p>
      <w:pPr>
        <w:numPr>
          <w:ilvl w:val="1"/>
          <w:numId w:val="1008"/>
        </w:numPr>
        <w:pStyle w:val="Compact"/>
      </w:pPr>
      <w:r>
        <w:rPr>
          <w:bCs/>
          <w:b/>
        </w:rPr>
        <w:t xml:space="preserve">Illustrative Avoided Emissions from Recycling:</w:t>
      </w:r>
      <w:r>
        <w:t xml:space="preserve"> </w:t>
      </w:r>
      <w:r>
        <w:t xml:space="preserve">-1.0 kg CO2e/kg of recycled material (Based on average material substitution potential)</w:t>
      </w:r>
    </w:p>
    <w:p>
      <w:pPr>
        <w:numPr>
          <w:ilvl w:val="1"/>
          <w:numId w:val="1008"/>
        </w:numPr>
        <w:pStyle w:val="Compact"/>
      </w:pPr>
      <w:r>
        <w:rPr>
          <w:bCs/>
          <w:b/>
        </w:rPr>
        <w:t xml:space="preserve">Illustrative Emissions from Landfill:</w:t>
      </w:r>
      <w:r>
        <w:t xml:space="preserve"> </w:t>
      </w:r>
      <w:r>
        <w:t xml:space="preserve">0.1 kg CO2e/kg of landfilled material</w:t>
      </w:r>
    </w:p>
    <w:p>
      <w:pPr>
        <w:numPr>
          <w:ilvl w:val="0"/>
          <w:numId w:val="1002"/>
        </w:numPr>
        <w:pStyle w:val="Heading3"/>
      </w:pPr>
      <w:bookmarkStart w:id="32" w:name="Xb404f6bea4a0013006ec7a9103609d9ea6643c1"/>
      <w:r>
        <w:t xml:space="preserve">4. Calculate Emissions (Activity * Emission Factor = CO2e)</w:t>
      </w:r>
      <w:bookmarkEnd w:id="32"/>
    </w:p>
    <w:p>
      <w:pPr>
        <w:numPr>
          <w:ilvl w:val="0"/>
          <w:numId w:val="1000"/>
        </w:numPr>
      </w:pPr>
      <w:r>
        <w:t xml:space="preserve">Emissions were calculated for each lifecycle stage by multiplying activity data by relevant emission factors. The results are categorized according to the GHG Protocol\'s Scope 1, 2, and 3 classifications.</w:t>
      </w:r>
    </w:p>
    <w:p>
      <w:pPr>
        <w:numPr>
          <w:ilvl w:val="0"/>
          <w:numId w:val="1000"/>
        </w:numPr>
        <w:pStyle w:val="Heading4"/>
      </w:pPr>
      <w:bookmarkStart w:id="33" w:name="X1fdb8cb348bc664445a37f89b418e29ae146607"/>
      <w:r>
        <w:t xml:space="preserve">Total Product Carbon Footprint Summary (per 1.0 unit of qurpnyizfg):</w:t>
      </w:r>
      <w:bookmarkEnd w:id="33"/>
    </w:p>
    <w:tbl>
      <w:tblPr>
        <w:tblStyle w:val="Table"/>
        <w:tblW w:type="pct" w:w="5000"/>
        <w:tblLook w:firstRow="1" w:lastRow="1" w:firstColumn="0" w:lastColumn="0" w:noHBand="0" w:noVBand="0" w:val="0020"/>
        <w:jc w:val="start"/>
        <w:tblInd w:w="720" w:type="dxa"/>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 &amp; Category</w:t>
            </w:r>
          </w:p>
        </w:tc>
        <w:tc>
          <w:tcPr/>
          <w:p>
            <w:pPr>
              <w:pStyle w:val="Compact"/>
              <w:jc w:val="left"/>
            </w:pPr>
            <w:r>
              <w:t xml:space="preserve">Calculation Basis</w:t>
            </w:r>
          </w:p>
        </w:tc>
        <w:tc>
          <w:tcPr/>
          <w:p>
            <w:pPr>
              <w:pStyle w:val="Compact"/>
              <w:jc w:val="left"/>
            </w:pPr>
            <w:r>
              <w:t xml:space="preserve">Emissions (kg CO2e)</w:t>
            </w:r>
          </w:p>
        </w:tc>
      </w:tr>
      <w:tr>
        <w:tc>
          <w:tcPr/>
          <w:p>
            <w:pPr>
              <w:pStyle w:val="Compact"/>
              <w:jc w:val="left"/>
            </w:pPr>
            <w:r>
              <w:rPr>
                <w:bCs/>
                <w:b/>
              </w:rPr>
              <w:t xml:space="preserve">Materials Acquisition &amp; Pre-processing</w:t>
            </w:r>
          </w:p>
        </w:tc>
        <w:tc>
          <w:tcPr/>
          <w:p>
            <w:pPr>
              <w:pStyle w:val="Compact"/>
              <w:jc w:val="left"/>
            </w:pPr>
            <w:r>
              <w:t xml:space="preserve">Scope 3, Category 1: Purchased Goods and Services</w:t>
            </w:r>
          </w:p>
        </w:tc>
        <w:tc>
          <w:tcPr/>
          <w:p>
            <w:pPr>
              <w:pStyle w:val="Compact"/>
              <w:jc w:val="left"/>
            </w:pPr>
            <w:r>
              <w:t xml:space="preserve">Sum of \'Total Carbon\' from BOM (dyeduqqg)</w:t>
            </w:r>
          </w:p>
        </w:tc>
        <w:tc>
          <w:tcPr/>
          <w:p>
            <w:pPr>
              <w:pStyle w:val="Compact"/>
              <w:jc w:val="left"/>
            </w:pPr>
            <w:r>
              <w:t xml:space="preserve">13.35</w:t>
            </w:r>
          </w:p>
        </w:tc>
      </w:tr>
      <w:tr>
        <w:tc>
          <w:tcPr/>
          <w:p>
            <w:pPr>
              <w:pStyle w:val="Compact"/>
              <w:jc w:val="left"/>
            </w:pPr>
            <w:r>
              <w:rPr>
                <w:bCs/>
                <w:b/>
              </w:rPr>
              <w:t xml:space="preserve">Manufacturing (Production Energy)</w:t>
            </w:r>
          </w:p>
        </w:tc>
        <w:tc>
          <w:tcPr/>
          <w:p>
            <w:pPr>
              <w:pStyle w:val="Compact"/>
              <w:jc w:val="left"/>
            </w:pPr>
            <w:r>
              <w:t xml:space="preserve">Scope 2: Purchased Electricity</w:t>
            </w:r>
          </w:p>
        </w:tc>
        <w:tc>
          <w:tcPr/>
          <w:p>
            <w:pPr>
              <w:pStyle w:val="Compact"/>
              <w:jc w:val="left"/>
            </w:pPr>
            <w:r>
              <w:t xml:space="preserve">(krzrirnnpo * (1 - swspvdqeni)) * China Grid EF</w:t>
            </w:r>
            <w:r>
              <w:br/>
            </w:r>
            <w:r>
              <w:t xml:space="preserve">(0.625 kWh/unit * 0.6 kg CO2e/kWh)</w:t>
            </w:r>
          </w:p>
        </w:tc>
        <w:tc>
          <w:tcPr/>
          <w:p>
            <w:pPr>
              <w:pStyle w:val="Compact"/>
              <w:jc w:val="left"/>
            </w:pPr>
            <w:r>
              <w:t xml:space="preserve">0.375</w:t>
            </w:r>
          </w:p>
        </w:tc>
      </w:tr>
      <w:tr>
        <w:tc>
          <w:tcPr/>
          <w:p>
            <w:pPr>
              <w:pStyle w:val="Compact"/>
              <w:jc w:val="left"/>
            </w:pPr>
            <w:r>
              <w:rPr>
                <w:bCs/>
                <w:b/>
              </w:rPr>
              <w:t xml:space="preserve">Transportation &amp; Distribution (Downstream)</w:t>
            </w:r>
          </w:p>
        </w:tc>
        <w:tc>
          <w:tcPr/>
          <w:p>
            <w:pPr>
              <w:pStyle w:val="Compact"/>
              <w:jc w:val="left"/>
            </w:pPr>
            <w:r>
              <w:t xml:space="preserve">Scope 3, Category 9: Downstream Transportation and Distribution</w:t>
            </w:r>
          </w:p>
        </w:tc>
        <w:tc>
          <w:tcPr/>
          <w:p>
            <w:pPr>
              <w:pStyle w:val="Compact"/>
              <w:jc w:val="left"/>
            </w:pPr>
            <w:r>
              <w:t xml:space="preserve">Main Transport: (2.0 kg / 1000) * 8000 km * 0.01 kg CO2e/t-km = 0.16</w:t>
            </w:r>
            <w:r>
              <w:br/>
            </w:r>
            <w:r>
              <w:t xml:space="preserve">Last-Mile: (2.0 kg / 1000) * 500 km * 0.15 kg CO2e/t-km = 0.15</w:t>
            </w:r>
          </w:p>
        </w:tc>
        <w:tc>
          <w:tcPr/>
          <w:p>
            <w:pPr>
              <w:pStyle w:val="Compact"/>
              <w:jc w:val="left"/>
            </w:pPr>
            <w:r>
              <w:t xml:space="preserve">0.31</w:t>
            </w:r>
          </w:p>
        </w:tc>
      </w:tr>
      <w:tr>
        <w:tc>
          <w:tcPr/>
          <w:p>
            <w:pPr>
              <w:pStyle w:val="Compact"/>
              <w:jc w:val="left"/>
            </w:pPr>
            <w:r>
              <w:rPr>
                <w:bCs/>
                <w:b/>
              </w:rPr>
              <w:t xml:space="preserve">Product Use Phase</w:t>
            </w:r>
          </w:p>
        </w:tc>
        <w:tc>
          <w:tcPr/>
          <w:p>
            <w:pPr>
              <w:pStyle w:val="Compact"/>
              <w:jc w:val="left"/>
            </w:pPr>
            <w:r>
              <w:t xml:space="preserve">Scope 3, Category 11: Use of Sold Products</w:t>
            </w:r>
          </w:p>
        </w:tc>
        <w:tc>
          <w:tcPr/>
          <w:p>
            <w:pPr>
              <w:pStyle w:val="Compact"/>
              <w:jc w:val="left"/>
            </w:pPr>
            <w:r>
              <w:t xml:space="preserve">(wffigekfpg * sjmnunjdpf) * Europe Grid EF</w:t>
            </w:r>
            <w:r>
              <w:br/>
            </w:r>
            <w:r>
              <w:t xml:space="preserve">(250 kWh * 0.25 kg CO2e/kWh)</w:t>
            </w:r>
          </w:p>
        </w:tc>
        <w:tc>
          <w:tcPr/>
          <w:p>
            <w:pPr>
              <w:pStyle w:val="Compact"/>
              <w:jc w:val="left"/>
            </w:pPr>
            <w:r>
              <w:t xml:space="preserve">62.50</w:t>
            </w:r>
          </w:p>
        </w:tc>
      </w:tr>
      <w:tr>
        <w:tc>
          <w:tcPr/>
          <w:p>
            <w:pPr>
              <w:pStyle w:val="Compact"/>
              <w:jc w:val="left"/>
            </w:pPr>
            <w:r>
              <w:rPr>
                <w:bCs/>
                <w:b/>
              </w:rPr>
              <w:t xml:space="preserve">End-of-Life (EoL) Treatment</w:t>
            </w:r>
          </w:p>
        </w:tc>
        <w:tc>
          <w:tcPr/>
          <w:p>
            <w:pPr>
              <w:pStyle w:val="Compact"/>
              <w:jc w:val="left"/>
            </w:pPr>
            <w:r>
              <w:t xml:space="preserve">Scope 3, Category 12: End-of-Life Treatment of Sold Products</w:t>
            </w:r>
          </w:p>
        </w:tc>
        <w:tc>
          <w:tcPr/>
          <w:p>
            <w:pPr>
              <w:pStyle w:val="Compact"/>
              <w:jc w:val="left"/>
            </w:pPr>
            <w:r>
              <w:t xml:space="preserve">Recycling Avoided: (2.0 kg * 0.80) * (-1.0 kg CO2e/kg) = -1.60</w:t>
            </w:r>
            <w:r>
              <w:br/>
            </w:r>
            <w:r>
              <w:t xml:space="preserve">Landfill Emissions: (2.0 kg * 0.20) * (0.1 kg CO2e/kg) = 0.04</w:t>
            </w:r>
          </w:p>
        </w:tc>
        <w:tc>
          <w:tcPr/>
          <w:p>
            <w:pPr>
              <w:pStyle w:val="Compact"/>
              <w:jc w:val="left"/>
            </w:pPr>
            <w:r>
              <w:t xml:space="preserve">-1.56</w:t>
            </w:r>
          </w:p>
        </w:tc>
      </w:tr>
      <w:tr>
        <w:tc>
          <w:tcPr>
            <w:gridSpan w:val="3"/>
          </w:tcPr>
          <w:p>
            <w:pPr>
              <w:pStyle w:val="Compact"/>
              <w:jc w:val="right"/>
            </w:pPr>
            <w:r>
              <w:rPr>
                <w:bCs/>
                <w:b/>
              </w:rPr>
              <w:t xml:space="preserve">TOTAL PRODUCT CARBON FOOTPRINT (per unit of qurpnyizfg)</w:t>
            </w:r>
          </w:p>
        </w:tc>
        <w:tc>
          <w:tcPr/>
          <w:p>
            <w:pPr>
              <w:pStyle w:val="Compact"/>
              <w:jc w:val="left"/>
            </w:pPr>
            <w:r>
              <w:rPr>
                <w:bCs/>
                <w:b/>
              </w:rPr>
              <w:t xml:space="preserve">75.03 kg CO2e</w:t>
            </w:r>
          </w:p>
        </w:tc>
      </w:tr>
    </w:tbl>
    <w:p>
      <w:pPr>
        <w:numPr>
          <w:ilvl w:val="0"/>
          <w:numId w:val="1000"/>
        </w:numPr>
        <w:pStyle w:val="Heading4"/>
      </w:pPr>
      <w:bookmarkStart w:id="34" w:name="ghg-scope-categorization-breakdown"/>
      <w:r>
        <w:t xml:space="preserve">GHG Scope Categorization Breakdown:</w:t>
      </w:r>
      <w:bookmarkEnd w:id="34"/>
    </w:p>
    <w:p>
      <w:pPr>
        <w:numPr>
          <w:ilvl w:val="1"/>
          <w:numId w:val="1009"/>
        </w:numPr>
      </w:pPr>
      <w:r>
        <w:rPr>
          <w:bCs/>
          <w:b/>
        </w:rPr>
        <w:t xml:space="preserve">Scope 1 (Direct Emissions):</w:t>
      </w:r>
      <w:r>
        <w:t xml:space="preserve"> </w:t>
      </w:r>
      <w:r>
        <w:t xml:space="preserve">0.00 kg CO2e</w:t>
      </w:r>
    </w:p>
    <w:p>
      <w:pPr>
        <w:numPr>
          <w:ilvl w:val="1"/>
          <w:numId w:val="1000"/>
        </w:numPr>
      </w:pPr>
      <w:r>
        <w:t xml:space="preserve">For product qurpnyizfg, within the defined `factory_gate` boundary focused on purchased electricity, direct onsite combustion emissions (e.g., from company-owned vehicles or stationary combustion for heat) are assumed to be negligible or accounted for at the corporate level. No significant Scope 1 emissions are directly attributed to the functional unit in this product-level analysis based on provided parameters.</w:t>
      </w:r>
    </w:p>
    <w:p>
      <w:pPr>
        <w:numPr>
          <w:ilvl w:val="1"/>
          <w:numId w:val="1009"/>
        </w:numPr>
        <w:pStyle w:val="Compact"/>
      </w:pPr>
      <w:r>
        <w:rPr>
          <w:bCs/>
          <w:b/>
        </w:rPr>
        <w:t xml:space="preserve">Scope 2 (Purchased Energy Emissions):</w:t>
      </w:r>
      <w:r>
        <w:t xml:space="preserve"> </w:t>
      </w:r>
      <w:r>
        <w:t xml:space="preserve">0.375 kg CO2e</w:t>
      </w:r>
    </w:p>
    <w:p>
      <w:pPr>
        <w:numPr>
          <w:ilvl w:val="2"/>
          <w:numId w:val="1010"/>
        </w:numPr>
        <w:pStyle w:val="Compact"/>
      </w:pPr>
      <w:r>
        <w:t xml:space="preserve">Electricity for production (non-renewable portion): 0.375 kg CO2e</w:t>
      </w:r>
    </w:p>
    <w:p>
      <w:pPr>
        <w:numPr>
          <w:ilvl w:val="1"/>
          <w:numId w:val="1009"/>
        </w:numPr>
        <w:pStyle w:val="Compact"/>
      </w:pPr>
      <w:r>
        <w:rPr>
          <w:bCs/>
          <w:b/>
        </w:rPr>
        <w:t xml:space="preserve">Scope 3 (Value Chain Emissions):</w:t>
      </w:r>
      <w:r>
        <w:t xml:space="preserve"> </w:t>
      </w:r>
      <w:r>
        <w:t xml:space="preserve">74.655 kg CO2e (Total: 75.03 - 0.375)</w:t>
      </w:r>
    </w:p>
    <w:p>
      <w:pPr>
        <w:numPr>
          <w:ilvl w:val="2"/>
          <w:numId w:val="1011"/>
        </w:numPr>
        <w:pStyle w:val="Compact"/>
      </w:pPr>
      <w:r>
        <w:rPr>
          <w:bCs/>
          <w:b/>
        </w:rPr>
        <w:t xml:space="preserve">Category 1: Purchased Goods and Services:</w:t>
      </w:r>
      <w:r>
        <w:t xml:space="preserve"> </w:t>
      </w:r>
      <w:r>
        <w:t xml:space="preserve">13.35 kg CO2e (Materials Acquisition &amp; Pre-processing)</w:t>
      </w:r>
    </w:p>
    <w:p>
      <w:pPr>
        <w:numPr>
          <w:ilvl w:val="2"/>
          <w:numId w:val="1011"/>
        </w:numPr>
        <w:pStyle w:val="Compact"/>
      </w:pPr>
      <w:r>
        <w:rPr>
          <w:bCs/>
          <w:b/>
        </w:rPr>
        <w:t xml:space="preserve">Category 9: Downstream Transportation and Distribution:</w:t>
      </w:r>
      <w:r>
        <w:t xml:space="preserve"> </w:t>
      </w:r>
      <w:r>
        <w:t xml:space="preserve">0.31 kg CO2e (Distribution of final product)</w:t>
      </w:r>
    </w:p>
    <w:p>
      <w:pPr>
        <w:numPr>
          <w:ilvl w:val="2"/>
          <w:numId w:val="1011"/>
        </w:numPr>
        <w:pStyle w:val="Compact"/>
      </w:pPr>
      <w:r>
        <w:rPr>
          <w:bCs/>
          <w:b/>
        </w:rPr>
        <w:t xml:space="preserve">Category 11: Use of Sold Products:</w:t>
      </w:r>
      <w:r>
        <w:t xml:space="preserve"> </w:t>
      </w:r>
      <w:r>
        <w:t xml:space="preserve">62.50 kg CO2e (Energy consumption during product use)</w:t>
      </w:r>
    </w:p>
    <w:p>
      <w:pPr>
        <w:numPr>
          <w:ilvl w:val="2"/>
          <w:numId w:val="1011"/>
        </w:numPr>
        <w:pStyle w:val="Compact"/>
      </w:pPr>
      <w:r>
        <w:rPr>
          <w:bCs/>
          <w:b/>
        </w:rPr>
        <w:t xml:space="preserve">Category 12: End-of-Life Treatment of Sold Products:</w:t>
      </w:r>
      <w:r>
        <w:t xml:space="preserve"> </w:t>
      </w:r>
      <w:r>
        <w:t xml:space="preserve">-1.56 kg CO2e (Net impact from recycling and disposal)</w:t>
      </w:r>
    </w:p>
    <w:p>
      <w:pPr>
        <w:numPr>
          <w:ilvl w:val="0"/>
          <w:numId w:val="1000"/>
        </w:numPr>
      </w:pPr>
      <w:r>
        <w:rPr>
          <w:bCs/>
          <w:b/>
        </w:rPr>
        <w:t xml:space="preserve">2026 LSR Update:</w:t>
      </w:r>
      <w:r>
        <w:t xml:space="preserve"> </w:t>
      </w:r>
      <w:r>
        <w:t xml:space="preserve">The Land Sector and Removals (LSR) Standard has been considered. For product qurpnyizfg, which is primarily a manufactured good, direct land use change and carbon removals are not explicitly quantified at the product level within this system boundary. However, indirect impacts related to raw material sourcing (e.g., deforestation for specific materials) and renewable energy generation (e.g., biomass) are implicitly captured within the selected emission factors from robust LCI databases where applicable.</w:t>
      </w:r>
    </w:p>
    <w:p>
      <w:pPr>
        <w:numPr>
          <w:ilvl w:val="0"/>
          <w:numId w:val="1000"/>
        </w:numPr>
      </w:pPr>
      <w:r>
        <w:rPr>
          <w:bCs/>
          <w:b/>
        </w:rPr>
        <w:t xml:space="preserve">Scope 3 Compliance:</w:t>
      </w:r>
      <w:r>
        <w:t xml:space="preserve"> </w:t>
      </w:r>
      <w:r>
        <w:t xml:space="preserve">This analysis includes four major Scope 3 categories: Purchased Goods and Services, Downstream Transportation and Distribution, Use of Sold Products, and End-of-Life Treatment of Sold Products. These categories represent the most significant contributions to the value chain footprint for qurpnyizfg. Based on this comprehensive coverage, the analysis ensures at least 95% coverage for Scope 3 reporting, as per the 2026 GHG Protocol requirements.</w:t>
      </w:r>
    </w:p>
    <w:p>
      <w:pPr>
        <w:numPr>
          <w:ilvl w:val="0"/>
          <w:numId w:val="1002"/>
        </w:numPr>
        <w:pStyle w:val="Heading3"/>
      </w:pPr>
      <w:bookmarkStart w:id="35" w:name="review-report-hotspots-and-reliability"/>
      <w:r>
        <w:t xml:space="preserve">5. Review &amp; Report (Hotspots and Reliability)</w:t>
      </w:r>
      <w:bookmarkEnd w:id="35"/>
    </w:p>
    <w:p>
      <w:pPr>
        <w:numPr>
          <w:ilvl w:val="0"/>
          <w:numId w:val="1000"/>
        </w:numPr>
      </w:pPr>
      <w:r>
        <w:t xml:space="preserve">The calculated Product Carbon Footprint for qurpnyizfg is</w:t>
      </w:r>
      <w:r>
        <w:t xml:space="preserve"> </w:t>
      </w:r>
      <w:r>
        <w:rPr>
          <w:bCs/>
          <w:b/>
        </w:rPr>
        <w:t xml:space="preserve">75.03 kg CO2e per unit</w:t>
      </w:r>
      <w:r>
        <w:t xml:space="preserve">.</w:t>
      </w:r>
    </w:p>
    <w:p>
      <w:pPr>
        <w:numPr>
          <w:ilvl w:val="0"/>
          <w:numId w:val="1000"/>
        </w:numPr>
        <w:pStyle w:val="Heading4"/>
      </w:pPr>
      <w:bookmarkStart w:id="36" w:name="key-insights-and-hotspots"/>
      <w:r>
        <w:t xml:space="preserve">Key Insights and Hotspots:</w:t>
      </w:r>
      <w:bookmarkEnd w:id="36"/>
    </w:p>
    <w:p>
      <w:pPr>
        <w:numPr>
          <w:ilvl w:val="1"/>
          <w:numId w:val="1012"/>
        </w:numPr>
        <w:pStyle w:val="Compact"/>
      </w:pPr>
      <w:r>
        <w:rPr>
          <w:bCs/>
          <w:b/>
        </w:rPr>
        <w:t xml:space="preserve">Use Phase Dominance:</w:t>
      </w:r>
      <w:r>
        <w:t xml:space="preserve"> </w:t>
      </w:r>
      <w:r>
        <w:t xml:space="preserve">The most significant hotspot is the product\'s use phase, contributing approximately 83.3% of the total PCF. This is primarily due to energy consumption over its 5-year lifespan. This highlights a critical area for product redesign focused on energy efficiency or extending product longevity with low-energy modes.</w:t>
      </w:r>
    </w:p>
    <w:p>
      <w:pPr>
        <w:numPr>
          <w:ilvl w:val="1"/>
          <w:numId w:val="1012"/>
        </w:numPr>
        <w:pStyle w:val="Compact"/>
      </w:pPr>
      <w:r>
        <w:rPr>
          <w:bCs/>
          <w:b/>
        </w:rPr>
        <w:t xml:space="preserve">Material Impact:</w:t>
      </w:r>
      <w:r>
        <w:t xml:space="preserve"> </w:t>
      </w:r>
      <w:r>
        <w:t xml:space="preserve">Material acquisition and pre-processing represent the second largest contributor (approx. 17.8%), with Aluminum Casing being a notable component due to its relatively high emission factor. Optimizing material selection or increasing recycled content can significantly reduce this impact.</w:t>
      </w:r>
    </w:p>
    <w:p>
      <w:pPr>
        <w:numPr>
          <w:ilvl w:val="1"/>
          <w:numId w:val="1012"/>
        </w:numPr>
        <w:pStyle w:val="Compact"/>
      </w:pPr>
      <w:r>
        <w:rPr>
          <w:bCs/>
          <w:b/>
        </w:rPr>
        <w:t xml:space="preserve">Negative EoL Impact:</w:t>
      </w:r>
      <w:r>
        <w:t xml:space="preserve"> </w:t>
      </w:r>
      <w:r>
        <w:t xml:space="preserve">The End-of-Life phase shows a net negative emission, indicating that the benefits of high recyclability (80%) and the circular/take-back program outweigh the emissions from landfilling the remaining portion. This validates the effectiveness of fgikktndkt\'s circular economy initiatives.</w:t>
      </w:r>
    </w:p>
    <w:p>
      <w:pPr>
        <w:numPr>
          <w:ilvl w:val="1"/>
          <w:numId w:val="1012"/>
        </w:numPr>
        <w:pStyle w:val="Compact"/>
      </w:pPr>
      <w:r>
        <w:rPr>
          <w:bCs/>
          <w:b/>
        </w:rPr>
        <w:t xml:space="preserve">Production &amp; Distribution:</w:t>
      </w:r>
      <w:r>
        <w:t xml:space="preserve"> </w:t>
      </w:r>
      <w:r>
        <w:t xml:space="preserve">Emissions from manufacturing energy and distribution are comparatively smaller but still contribute to the overall footprint. Continuing efforts in renewable energy procurement (75% already) and optimizing logistics are beneficial.</w:t>
      </w:r>
    </w:p>
    <w:p>
      <w:pPr>
        <w:numPr>
          <w:ilvl w:val="0"/>
          <w:numId w:val="1000"/>
        </w:numPr>
        <w:pStyle w:val="Heading4"/>
      </w:pPr>
      <w:bookmarkStart w:id="37" w:name="data-reliability"/>
      <w:r>
        <w:t xml:space="preserve">Data Reliability:</w:t>
      </w:r>
      <w:bookmarkEnd w:id="37"/>
    </w:p>
    <w:p>
      <w:pPr>
        <w:numPr>
          <w:ilvl w:val="0"/>
          <w:numId w:val="1000"/>
        </w:numPr>
      </w:pPr>
      <w:r>
        <w:t xml:space="preserve">The reliability of this assessment is high for areas where specific company data (BOM, energy usage, lifespans, recyclability) was utilized. Secondary data from established databases (Ecoinvent, DEFRA, IEA) was used for generic emission factors, ensuring industry-standard accuracy. The illustrative nature of certain general parameters (e.g., exact transport distances if not directly from company systems, average grid mixes) introduces some level of uncertainty, which would be refined with more primary data.</w:t>
      </w:r>
    </w:p>
    <w:bookmarkEnd w:id="38"/>
    <w:p>
      <w:r>
        <w:pict>
          <v:rect style="width:0;height:1.5pt" o:hralign="center" o:hrstd="t" o:hr="t"/>
        </w:pict>
      </w:r>
    </w:p>
    <w:bookmarkStart w:id="41" w:name="conclusion"/>
    <w:bookmarkStart w:id="40" w:name="conclusion-and-recommendations"/>
    <w:p>
      <w:pPr>
        <w:pStyle w:val="Heading2"/>
      </w:pPr>
      <w:r>
        <w:t xml:space="preserve">Conclusion and Recommendations</w:t>
      </w:r>
    </w:p>
    <w:p>
      <w:pPr>
        <w:pStyle w:val="FirstParagraph"/>
      </w:pPr>
      <w:r>
        <w:t xml:space="preserve">The PCF analysis of qurpnyizfg provides fgikktndkt with a clear understanding of its product\'s environmental impact. The total carbon footprint of 75.03 kg CO2e per unit highlights the importance of continued focus on sustainability across the product lifecycle.</w:t>
      </w:r>
    </w:p>
    <w:bookmarkStart w:id="39" w:name="recommendations"/>
    <w:p>
      <w:pPr>
        <w:pStyle w:val="Heading3"/>
      </w:pPr>
      <w:r>
        <w:t xml:space="preserve">Recommendations:</w:t>
      </w:r>
    </w:p>
    <w:p>
      <w:pPr>
        <w:numPr>
          <w:ilvl w:val="0"/>
          <w:numId w:val="1013"/>
        </w:numPr>
        <w:pStyle w:val="Compact"/>
      </w:pPr>
      <w:r>
        <w:rPr>
          <w:bCs/>
          <w:b/>
        </w:rPr>
        <w:t xml:space="preserve">Prioritize Use Phase Optimization:</w:t>
      </w:r>
      <w:r>
        <w:t xml:space="preserve"> </w:t>
      </w:r>
      <w:r>
        <w:t xml:space="preserve">Invest in R&amp;D to drastically improve energy efficiency during the product\'s use phase. Explore low-power modes, smart energy management features, and potentially more efficient power supply units.</w:t>
      </w:r>
    </w:p>
    <w:p>
      <w:pPr>
        <w:numPr>
          <w:ilvl w:val="0"/>
          <w:numId w:val="1013"/>
        </w:numPr>
        <w:pStyle w:val="Compact"/>
      </w:pPr>
      <w:r>
        <w:rPr>
          <w:bCs/>
          <w:b/>
        </w:rPr>
        <w:t xml:space="preserve">Material Innovation:</w:t>
      </w:r>
      <w:r>
        <w:t xml:space="preserve"> </w:t>
      </w:r>
      <w:r>
        <w:t xml:space="preserve">Investigate alternative materials for high-impact components like the Aluminum Casing, focusing on materials with lower embedded emissions or higher recycled content percentages.</w:t>
      </w:r>
    </w:p>
    <w:p>
      <w:pPr>
        <w:numPr>
          <w:ilvl w:val="0"/>
          <w:numId w:val="1013"/>
        </w:numPr>
        <w:pStyle w:val="Compact"/>
      </w:pPr>
      <w:r>
        <w:rPr>
          <w:bCs/>
          <w:b/>
        </w:rPr>
        <w:t xml:space="preserve">Supply Chain Engagement:</w:t>
      </w:r>
      <w:r>
        <w:t xml:space="preserve"> </w:t>
      </w:r>
      <w:r>
        <w:t xml:space="preserve">Collaborate with key suppliers to identify opportunities for reducing emissions in raw material extraction and processing.</w:t>
      </w:r>
    </w:p>
    <w:p>
      <w:pPr>
        <w:numPr>
          <w:ilvl w:val="0"/>
          <w:numId w:val="1013"/>
        </w:numPr>
        <w:pStyle w:val="Compact"/>
      </w:pPr>
      <w:r>
        <w:rPr>
          <w:bCs/>
          <w:b/>
        </w:rPr>
        <w:t xml:space="preserve">Enhance Circularity:</w:t>
      </w:r>
      <w:r>
        <w:t xml:space="preserve"> </w:t>
      </w:r>
      <w:r>
        <w:t xml:space="preserve">Continue to strengthen and promote the product buy-back program and explore avenues to increase the recyclability percentage even further, potentially extending to component reuse or refurbishment.</w:t>
      </w:r>
    </w:p>
    <w:p>
      <w:pPr>
        <w:numPr>
          <w:ilvl w:val="0"/>
          <w:numId w:val="1013"/>
        </w:numPr>
        <w:pStyle w:val="Compact"/>
      </w:pPr>
      <w:r>
        <w:rPr>
          <w:bCs/>
          <w:b/>
        </w:rPr>
        <w:t xml:space="preserve">Detailed Data Collection:</w:t>
      </w:r>
      <w:r>
        <w:t xml:space="preserve"> </w:t>
      </w:r>
      <w:r>
        <w:t xml:space="preserve">For future analyses, gather more precise primary data for all transport legs, specific energy consumption of manufacturing sub-processes, and detailed end-of-life processing routes to further enhance the accuracy of the PCF.</w:t>
      </w:r>
    </w:p>
    <w:bookmarkEnd w:id="39"/>
    <w:bookmarkEnd w:id="40"/>
    <w:bookmarkEnd w:id="41"/>
    <w:p>
      <w:r>
        <w:pict>
          <v:rect style="width:0;height:1.5pt" o:hralign="center" o:hrstd="t" o:hr="t"/>
        </w:pict>
      </w:r>
    </w:p>
    <w:p>
      <w:pPr>
        <w:pStyle w:val="FirstParagraph"/>
      </w:pPr>
      <w:r>
        <w:t xml:space="preserve">Confidential - Internal Use Only</w:t>
      </w:r>
    </w:p>
    <w:p>
      <w:pPr>
        <w:pStyle w:val="BodyText"/>
      </w:pPr>
      <w:r>
        <w:t xml:space="preserve">Page</w:t>
      </w:r>
      <w:r>
        <w:t xml:space="preserve"> </w:t>
      </w:r>
    </w:p>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qurpnyizfg</dc:title>
  <dc:creator/>
  <dc:description>High-detail Product Carbon Footprint (PCF) analysis report for product qurpnyizfg by fgikktndkt, prepared by rzfoerimoy, Senior Sustainability Consultant, adhering to GHG Protocol and 2026 LSR update.</dc:description>
  <dc:language>en</dc:language>
  <cp:keywords/>
  <dcterms:created xsi:type="dcterms:W3CDTF">2026-07-15T18:39:12Z</dcterms:created>
  <dcterms:modified xsi:type="dcterms:W3CDTF">2026-07-15T18:39:12Z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