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qefdhjmevg</w:t>
      </w:r>
    </w:p>
    <w:p>
      <w:pPr>
        <w:pStyle w:val="FirstParagraph"/>
      </w:pPr>
      <w:r>
        <w:t xml:space="preserve">carboncalcpcf.com</w:t>
      </w:r>
    </w:p>
    <w:bookmarkStart w:id="20" w:name="X2557ea8ae5c59c37c96f181a892d604cf7656b6"/>
    <w:p>
      <w:pPr>
        <w:pStyle w:val="Heading1"/>
      </w:pPr>
      <w:r>
        <w:t xml:space="preserve">Product Carbon Footprint (PCF) Analysis Report for qefdhjmevg</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ypsmyjrqxx</w:t>
      </w:r>
    </w:p>
    <w:p>
      <w:pPr>
        <w:pStyle w:val="BodyText"/>
      </w:pPr>
      <w:r>
        <w:rPr>
          <w:bCs/>
          <w:b/>
        </w:rPr>
        <w:t xml:space="preserve">Senior Sustainability Consultant:</w:t>
      </w:r>
      <w:r>
        <w:t xml:space="preserve"> </w:t>
      </w:r>
      <w:r>
        <w:t xml:space="preserve">ztoqtvoifo</w:t>
      </w:r>
    </w:p>
    <w:p>
      <w:pPr>
        <w:pStyle w:val="BodyText"/>
      </w:pPr>
      <w:r>
        <w:t xml:space="preserve">This report is generated based on available data and industry standards, utilizing provided parameters. All emission factors are illustrative and based on publicly available data (e.g., from Ecoinvent/DEFRA), not direct supplier-specific primary data unless explicitly stated.</w:t>
      </w:r>
    </w:p>
    <w:bookmarkEnd w:id="20"/>
    <w:bookmarkStart w:id="45" w:name="X3f5fbf8edb4fb3f09cae984d9efedfaa680b61e"/>
    <w:p>
      <w:pPr>
        <w:pStyle w:val="Heading1"/>
      </w:pPr>
      <w:r>
        <w:t xml:space="preserve">Product Carbon Footprint (PCF) Analysis Report for qefdhjmevg</w:t>
      </w:r>
    </w:p>
    <w:p>
      <w:pPr>
        <w:pStyle w:val="FirstParagraph"/>
      </w:pPr>
      <w:r>
        <w:rPr>
          <w:bCs/>
          <w:b/>
        </w:rPr>
        <w:t xml:space="preserve">Generated Date:</w:t>
      </w:r>
      <w:r>
        <w:t xml:space="preserve"> </w:t>
      </w:r>
      <w:r>
        <w:t xml:space="preserve">June 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"qefdhjmevg" manufactured by "ypsmyjrqxx". The analysis adheres to the Greenhouse Gas (GHG) Protocol standards, including the latest 2026 Land Sector and Removals (LSR) update, and aims for at least 95% Scope 3 coverage. Conducted by Senior Sustainability Consultant ztoqtvoifo, this assessment meticulously quantifies greenhouse gas emissions across the product\'s lifecycle, from material acquisition to end-of-life, providing insights into emission hotspots and areas for reduction. The report utilizes a detailed Bill of Materials (BOM) and specific operational data for enhanced accuracy in calculations.</w:t>
      </w:r>
    </w:p>
    <w:p>
      <w:r>
        <w:pict>
          <v:rect style="width:0;height:1.5pt" o:hralign="center" o:hrstd="t" o:hr="t"/>
        </w:pict>
      </w:r>
    </w:p>
    <w:bookmarkEnd w:id="21"/>
    <w:bookmarkStart w:id="24" w:name="methodology-and-scope-definition"/>
    <w:p>
      <w:pPr>
        <w:pStyle w:val="Heading2"/>
      </w:pPr>
      <w:r>
        <w:t xml:space="preserve">1. Methodology and Scope Definition</w:t>
      </w:r>
    </w:p>
    <w:p>
      <w:pPr>
        <w:pStyle w:val="FirstParagraph"/>
      </w:pPr>
      <w:r>
        <w:t xml:space="preserve">The Product Carbon Footprint (PCF) analysis for qefdhjmevg follows a structured methodology in line with the GHG Protocol Product Standard, encompassing five key steps: Defining Scope, Mapping Lifecycle, Collecting Data, Calculating Emissions, and Review &amp; Report.</w:t>
      </w:r>
    </w:p>
    <w:bookmarkStart w:id="22" w:name="scope-definition"/>
    <w:p>
      <w:pPr>
        <w:pStyle w:val="Heading3"/>
      </w:pPr>
      <w:r>
        <w:t xml:space="preserve">1.1. Scope Definition</w:t>
      </w:r>
    </w:p>
    <w:p>
      <w:pPr>
        <w:numPr>
          <w:ilvl w:val="0"/>
          <w:numId w:val="1001"/>
        </w:numPr>
        <w:pStyle w:val="Compact"/>
      </w:pPr>
      <w:r>
        <w:rPr>
          <w:bCs/>
          <w:b/>
        </w:rPr>
        <w:t xml:space="preserve">Functional Unit:</w:t>
      </w:r>
      <w:r>
        <w:t xml:space="preserve"> </w:t>
      </w:r>
      <w:r>
        <w:t xml:space="preserve">1.0 unit of qefdhjmevg. This represents the reference flow to which all inputs and outputs are related.</w:t>
      </w:r>
    </w:p>
    <w:p>
      <w:pPr>
        <w:numPr>
          <w:ilvl w:val="0"/>
          <w:numId w:val="1001"/>
        </w:numPr>
        <w:pStyle w:val="Compact"/>
      </w:pPr>
      <w:r>
        <w:rPr>
          <w:bCs/>
          <w:b/>
        </w:rPr>
        <w:t xml:space="preserve">System Boundary:</w:t>
      </w:r>
      <w:r>
        <w:t xml:space="preserve"> </w:t>
      </w:r>
      <w:r>
        <w:t xml:space="preserve">factory_gate. This "cradle-to-gate" boundary typically includes raw material extraction, manufacturing, and transport to the factory gate. However, per user requirements, this report extends beyond \'factory_gate\' to include transport to consumer, use phase, and end-of-life, effectively becoming a "cradle-to-grave" analysis with a \'factory_gate\' system boundary focus for initial production stages.</w:t>
      </w:r>
    </w:p>
    <w:p>
      <w:pPr>
        <w:numPr>
          <w:ilvl w:val="0"/>
          <w:numId w:val="1001"/>
        </w:numPr>
        <w:pStyle w:val="Compact"/>
      </w:pPr>
      <w:r>
        <w:rPr>
          <w:bCs/>
          <w:b/>
        </w:rPr>
        <w:t xml:space="preserve">Geographic Scope:</w:t>
      </w:r>
      <w:r>
        <w:t xml:space="preserve"> </w:t>
      </w:r>
      <w:r>
        <w:t xml:space="preserve">Final Production Country: China, Supply Chain Focus: Europe Focused. This dual focus acknowledges the primary manufacturing location while considering the broader global supply chain impacts, particularly for material sourcing and distribution.</w:t>
      </w:r>
    </w:p>
    <w:p>
      <w:pPr>
        <w:numPr>
          <w:ilvl w:val="0"/>
          <w:numId w:val="1001"/>
        </w:numPr>
        <w:pStyle w:val="Compact"/>
      </w:pPr>
      <w:r>
        <w:rPr>
          <w:bCs/>
          <w:b/>
        </w:rPr>
        <w:t xml:space="preserve">Allocation:</w:t>
      </w:r>
      <w:r>
        <w:t xml:space="preserve"> </w:t>
      </w:r>
      <w:r>
        <w:t xml:space="preserve">Where co-products or by-products exist, allocation methods (e.g., mass-based, economic-based) would be applied in accordance with GHG Protocol guidance to distribute environmental burdens appropriately. For this specific product, direct mass-based allocation is assumed for simplicity in illustrative calculations.</w:t>
      </w:r>
    </w:p>
    <w:bookmarkEnd w:id="22"/>
    <w:bookmarkStart w:id="23" w:name="accounting-standard"/>
    <w:p>
      <w:pPr>
        <w:pStyle w:val="Heading3"/>
      </w:pPr>
      <w:r>
        <w:t xml:space="preserve">1.2. Accounting Standard</w:t>
      </w:r>
    </w:p>
    <w:p>
      <w:pPr>
        <w:pStyle w:val="FirstParagraph"/>
      </w:pPr>
      <w:r>
        <w:t xml:space="preserve">This PCF analysis is conducted in strict accordance with the **GHG Protocol**, the most widely used international accounting tool for understanding, quantifying, and managing greenhouse gas emissions. The report categorizes emissions into Scope 1 (direct emissions), Scope 2 (indirect emissions from purchased energy), and Scope 3 (all other indirect emissions across the value chain).</w:t>
      </w:r>
    </w:p>
    <w:p>
      <w:r>
        <w:pict>
          <v:rect style="width:0;height:1.5pt" o:hralign="center" o:hrstd="t" o:hr="t"/>
        </w:pict>
      </w:r>
    </w:p>
    <w:bookmarkEnd w:id="23"/>
    <w:bookmarkEnd w:id="24"/>
    <w:bookmarkStart w:id="30" w:name="X35745a8e252718d5a0d40cb3fbfce10aee0336d"/>
    <w:p>
      <w:pPr>
        <w:pStyle w:val="Heading2"/>
      </w:pPr>
      <w:r>
        <w:t xml:space="preserve">2. Lifecycle Mapping (LCI Inventory Stages) &amp; Data Collection</w:t>
      </w:r>
    </w:p>
    <w:p>
      <w:pPr>
        <w:pStyle w:val="FirstParagraph"/>
      </w:pPr>
      <w:r>
        <w:t xml:space="preserve">The lifecycle of qefdhjmevg is mapped across five main stages, with detailed data collection for each:</w:t>
      </w:r>
    </w:p>
    <w:p>
      <w:pPr>
        <w:numPr>
          <w:ilvl w:val="0"/>
          <w:numId w:val="1002"/>
        </w:numPr>
        <w:pStyle w:val="Compact"/>
      </w:pPr>
      <w:r>
        <w:rPr>
          <w:bCs/>
          <w:b/>
        </w:rPr>
        <w:t xml:space="preserve">Material Acquisition &amp; Pre-processing:</w:t>
      </w:r>
      <w:r>
        <w:t xml:space="preserve"> </w:t>
      </w:r>
      <w:r>
        <w:t xml:space="preserve">Extraction and initial processing of raw materials.</w:t>
      </w:r>
    </w:p>
    <w:p>
      <w:pPr>
        <w:numPr>
          <w:ilvl w:val="0"/>
          <w:numId w:val="1002"/>
        </w:numPr>
        <w:pStyle w:val="Compact"/>
      </w:pPr>
      <w:r>
        <w:rPr>
          <w:bCs/>
          <w:b/>
        </w:rPr>
        <w:t xml:space="preserve">Manufacturing/Production:</w:t>
      </w:r>
      <w:r>
        <w:t xml:space="preserve"> </w:t>
      </w:r>
      <w:r>
        <w:t xml:space="preserve">Transformation of raw materials into the final product.</w:t>
      </w:r>
    </w:p>
    <w:p>
      <w:pPr>
        <w:numPr>
          <w:ilvl w:val="0"/>
          <w:numId w:val="1002"/>
        </w:numPr>
        <w:pStyle w:val="Compact"/>
      </w:pPr>
      <w:r>
        <w:rPr>
          <w:bCs/>
          <w:b/>
        </w:rPr>
        <w:t xml:space="preserve">Transport:</w:t>
      </w:r>
      <w:r>
        <w:t xml:space="preserve"> </w:t>
      </w:r>
      <w:r>
        <w:t xml:space="preserve">Logistics throughout the supply chain (inbound materials, outbound product, last-mile).</w:t>
      </w:r>
    </w:p>
    <w:p>
      <w:pPr>
        <w:numPr>
          <w:ilvl w:val="0"/>
          <w:numId w:val="1002"/>
        </w:numPr>
        <w:pStyle w:val="Compact"/>
      </w:pPr>
      <w:r>
        <w:rPr>
          <w:bCs/>
          <w:b/>
        </w:rPr>
        <w:t xml:space="preserve">Use Phase:</w:t>
      </w:r>
      <w:r>
        <w:t xml:space="preserve"> </w:t>
      </w:r>
      <w:r>
        <w:t xml:space="preserve">Energy consumption and other impacts during the product\'s operational life.</w:t>
      </w:r>
    </w:p>
    <w:p>
      <w:pPr>
        <w:numPr>
          <w:ilvl w:val="0"/>
          <w:numId w:val="1002"/>
        </w:numPr>
        <w:pStyle w:val="Compact"/>
      </w:pPr>
      <w:r>
        <w:rPr>
          <w:bCs/>
          <w:b/>
        </w:rPr>
        <w:t xml:space="preserve">End-of-Life (EoL):</w:t>
      </w:r>
      <w:r>
        <w:t xml:space="preserve"> </w:t>
      </w:r>
      <w:r>
        <w:t xml:space="preserve">Disposal, recycling, or recovery processes.</w:t>
      </w:r>
    </w:p>
    <w:bookmarkStart w:id="25" w:name="X80cb66e86dc0e0340ede6ece424e82495baa997"/>
    <w:p>
      <w:pPr>
        <w:pStyle w:val="Heading3"/>
      </w:pPr>
      <w:r>
        <w:t xml:space="preserve">2.1. Detailed Bill of Materials (BOM) and Material Inputs</w:t>
      </w:r>
    </w:p>
    <w:p>
      <w:pPr>
        <w:pStyle w:val="FirstParagraph"/>
      </w:pPr>
      <w:r>
        <w:t xml:space="preserve">The following detailed Bill of Materials (BOM) data (`zfjughgw`) was used for high-accuracy material impact calculation. Emission factors are illustrative and based on industry averages, e.g., from Ecoinvent/DEFRA, where specific primary data was not available.</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(kg/unit)</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2.00</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Chemicals/Energy Storage</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15.0</w:t>
            </w:r>
          </w:p>
        </w:tc>
        <w:tc>
          <w:tcPr/>
          <w:p>
            <w:pPr>
              <w:pStyle w:val="Compact"/>
              <w:jc w:val="left"/>
            </w:pPr>
            <w:r>
              <w:t xml:space="preserve">2.25</w:t>
            </w:r>
          </w:p>
        </w:tc>
      </w:tr>
      <w:tr>
        <w:tc>
          <w:tcPr>
            <w:gridSpan w:val="7"/>
          </w:tcPr>
          <w:p>
            <w:pPr>
              <w:pStyle w:val="Compact"/>
              <w:jc w:val="right"/>
            </w:pPr>
            <w:r>
              <w:t xml:space="preserve">Total Material Acquisition &amp; Pre-processing Impact:</w:t>
            </w:r>
          </w:p>
        </w:tc>
        <w:tc>
          <w:tcPr/>
          <w:p>
            <w:pPr>
              <w:pStyle w:val="Compact"/>
              <w:jc w:val="left"/>
            </w:pPr>
            <w:r>
              <w:t xml:space="preserve">6.15</w:t>
            </w:r>
          </w:p>
        </w:tc>
      </w:tr>
    </w:tbl>
    <w:p>
      <w:pPr>
        <w:pStyle w:val="BodyText"/>
      </w:pPr>
      <w:r>
        <w:rPr>
          <w:iCs/>
          <w:i/>
        </w:rPr>
        <w:t xml:space="preserve">Note: Emission factors are representative industry averages. For instance, plastic injection molding factors can range from ~1 kg CO2e/kg to over 6 kg CO2e/kg depending on plastic type and specific process efficiency. Aluminum extrusion factors can vary significantly based on primary versus recycled content. Copper wire emissions can range from approximately 0.2 kg CO2e/kg to over 40 kg CO2e/kg depending on the source and scope. Lithium-ion battery manufacturing emissions are highly dependent on energy mix and specific cathode chemistry, with estimates often provided per kWh of capacity or per kg, ranging from 6.3 kgCO2e/kg to 28 kgCO2e/kg or even higher for some processes.</w:t>
      </w:r>
    </w:p>
    <w:bookmarkEnd w:id="25"/>
    <w:bookmarkStart w:id="26" w:name="energy-inputs-for-production"/>
    <w:p>
      <w:pPr>
        <w:pStyle w:val="Heading3"/>
      </w:pPr>
      <w:r>
        <w:t xml:space="preserve">2.2. Energy Inputs for Production</w:t>
      </w:r>
    </w:p>
    <w:p>
      <w:pPr>
        <w:numPr>
          <w:ilvl w:val="0"/>
          <w:numId w:val="1003"/>
        </w:numPr>
        <w:pStyle w:val="Compact"/>
      </w:pPr>
      <w:r>
        <w:rPr>
          <w:bCs/>
          <w:b/>
        </w:rPr>
        <w:t xml:space="preserve">Renewable Energy Usage (`qtjzsptqoe`):</w:t>
      </w:r>
      <w:r>
        <w:t xml:space="preserve"> </w:t>
      </w:r>
      <w:r>
        <w:t xml:space="preserve">60% of the production energy is sourced from renewables.</w:t>
      </w:r>
    </w:p>
    <w:p>
      <w:pPr>
        <w:numPr>
          <w:ilvl w:val="0"/>
          <w:numId w:val="1003"/>
        </w:numPr>
        <w:pStyle w:val="Compact"/>
      </w:pPr>
      <w:r>
        <w:rPr>
          <w:bCs/>
          <w:b/>
        </w:rPr>
        <w:t xml:space="preserve">Energy Intensity (`plisfhqtmj`):</w:t>
      </w:r>
      <w:r>
        <w:t xml:space="preserve"> </w:t>
      </w:r>
      <w:r>
        <w:t xml:space="preserve">25 kWh/unit.</w:t>
      </w:r>
    </w:p>
    <w:p>
      <w:pPr>
        <w:numPr>
          <w:ilvl w:val="0"/>
          <w:numId w:val="1003"/>
        </w:numPr>
        <w:pStyle w:val="Compact"/>
      </w:pPr>
      <w:r>
        <w:rPr>
          <w:bCs/>
          <w:b/>
        </w:rPr>
        <w:t xml:space="preserve">Grid Electricity Emission Factor (China):</w:t>
      </w:r>
      <w:r>
        <w:t xml:space="preserve"> </w:t>
      </w:r>
      <w:r>
        <w:t xml:space="preserve">An average non-renewable grid electricity emission factor of 0.6 kg CO2e/kWh is used for China, based on available data.</w:t>
      </w:r>
    </w:p>
    <w:bookmarkEnd w:id="26"/>
    <w:bookmarkStart w:id="27" w:name="logistics-data"/>
    <w:p>
      <w:pPr>
        <w:pStyle w:val="Heading3"/>
      </w:pPr>
      <w:r>
        <w:t xml:space="preserve">2.3. Logistics Data</w:t>
      </w:r>
    </w:p>
    <w:p>
      <w:pPr>
        <w:numPr>
          <w:ilvl w:val="0"/>
          <w:numId w:val="1004"/>
        </w:numPr>
        <w:pStyle w:val="Compact"/>
      </w:pPr>
      <w:r>
        <w:rPr>
          <w:bCs/>
          <w:b/>
        </w:rPr>
        <w:t xml:space="preserve">Transport Mode (`Select Mode`):</w:t>
      </w:r>
      <w:r>
        <w:t xml:space="preserve"> </w:t>
      </w:r>
      <w:r>
        <w:t xml:space="preserve">Ocean Freight (Container Ship) for main inbound routes, Road Freight (Heavy Duty Truck) for shorter inbound routes, and Road Freight (Parcel Delivery Van) for last-mile delivery.</w:t>
      </w:r>
    </w:p>
    <w:p>
      <w:pPr>
        <w:numPr>
          <w:ilvl w:val="0"/>
          <w:numId w:val="1004"/>
        </w:numPr>
        <w:pStyle w:val="Compact"/>
      </w:pPr>
      <w:r>
        <w:rPr>
          <w:bCs/>
          <w:b/>
        </w:rPr>
        <w:t xml:space="preserve">Transport Distance (`qtzqduitmu`):</w:t>
      </w:r>
      <w:r>
        <w:t xml:space="preserve"> </w:t>
      </w:r>
      <w:r>
        <w:t xml:space="preserve">15,000 km (Ocean), 500 km (Road - inbound), 200 km (Road - last-mile).</w:t>
      </w:r>
    </w:p>
    <w:p>
      <w:pPr>
        <w:numPr>
          <w:ilvl w:val="0"/>
          <w:numId w:val="1004"/>
        </w:numPr>
        <w:pStyle w:val="Compact"/>
      </w:pPr>
      <w:r>
        <w:rPr>
          <w:bCs/>
          <w:b/>
        </w:rPr>
        <w:t xml:space="preserve">Last-Mile Delivery Channel (`Delivery Type`):</w:t>
      </w:r>
      <w:r>
        <w:t xml:space="preserve"> </w:t>
      </w:r>
      <w:r>
        <w:t xml:space="preserve">Road Freight - Parcel Delivery Van.</w:t>
      </w:r>
    </w:p>
    <w:p>
      <w:pPr>
        <w:numPr>
          <w:ilvl w:val="0"/>
          <w:numId w:val="1004"/>
        </w:numPr>
        <w:pStyle w:val="Compact"/>
      </w:pPr>
      <w:r>
        <w:rPr>
          <w:bCs/>
          <w:b/>
        </w:rPr>
        <w:t xml:space="preserve">Assumed Product Weight for Transport:</w:t>
      </w:r>
      <w:r>
        <w:t xml:space="preserve"> </w:t>
      </w:r>
      <w:r>
        <w:t xml:space="preserve">1.0 kg/unit.</w:t>
      </w:r>
    </w:p>
    <w:p>
      <w:pPr>
        <w:numPr>
          <w:ilvl w:val="0"/>
          <w:numId w:val="1004"/>
        </w:numPr>
        <w:pStyle w:val="Compact"/>
      </w:pPr>
      <w:r>
        <w:rPr>
          <w:bCs/>
          <w:b/>
        </w:rPr>
        <w:t xml:space="preserve">Emission Factors (Illustrative):</w:t>
      </w:r>
    </w:p>
    <w:p>
      <w:pPr>
        <w:numPr>
          <w:ilvl w:val="1"/>
          <w:numId w:val="1005"/>
        </w:numPr>
        <w:pStyle w:val="Compact"/>
      </w:pPr>
      <w:r>
        <w:t xml:space="preserve">Ocean Freight (Container Ship): 0.016 kg CO2e/tonne-km</w:t>
      </w:r>
    </w:p>
    <w:p>
      <w:pPr>
        <w:numPr>
          <w:ilvl w:val="1"/>
          <w:numId w:val="1005"/>
        </w:numPr>
        <w:pStyle w:val="Compact"/>
      </w:pPr>
      <w:r>
        <w:t xml:space="preserve">Road Freight (Heavy Duty Truck - inbound): 0.1 kg CO2e/tonne-km</w:t>
      </w:r>
    </w:p>
    <w:p>
      <w:pPr>
        <w:numPr>
          <w:ilvl w:val="1"/>
          <w:numId w:val="1005"/>
        </w:numPr>
        <w:pStyle w:val="Compact"/>
      </w:pPr>
      <w:r>
        <w:t xml:space="preserve">Road Freight (Parcel Delivery Van - last mile): 0.25 kg CO2e/tonne-km (higher due to smaller load factors)</w:t>
      </w:r>
    </w:p>
    <w:bookmarkEnd w:id="27"/>
    <w:bookmarkStart w:id="28" w:name="use-phase-data"/>
    <w:p>
      <w:pPr>
        <w:pStyle w:val="Heading3"/>
      </w:pPr>
      <w:r>
        <w:t xml:space="preserve">2.4. Use Phase Data</w:t>
      </w:r>
    </w:p>
    <w:p>
      <w:pPr>
        <w:numPr>
          <w:ilvl w:val="0"/>
          <w:numId w:val="1006"/>
        </w:numPr>
        <w:pStyle w:val="Compact"/>
      </w:pPr>
      <w:r>
        <w:rPr>
          <w:bCs/>
          <w:b/>
        </w:rPr>
        <w:t xml:space="preserve">Product Lifespan (`hvgspmlrnj`):</w:t>
      </w:r>
      <w:r>
        <w:t xml:space="preserve"> </w:t>
      </w:r>
      <w:r>
        <w:t xml:space="preserve">7 years.</w:t>
      </w:r>
    </w:p>
    <w:p>
      <w:pPr>
        <w:numPr>
          <w:ilvl w:val="0"/>
          <w:numId w:val="1006"/>
        </w:numPr>
        <w:pStyle w:val="Compact"/>
      </w:pPr>
      <w:r>
        <w:rPr>
          <w:bCs/>
          <w:b/>
        </w:rPr>
        <w:t xml:space="preserve">Energy Consumption in Use (`usuvfmxovu`):</w:t>
      </w:r>
      <w:r>
        <w:t xml:space="preserve"> </w:t>
      </w:r>
      <w:r>
        <w:t xml:space="preserve">8 kWh/year.</w:t>
      </w:r>
    </w:p>
    <w:p>
      <w:pPr>
        <w:numPr>
          <w:ilvl w:val="0"/>
          <w:numId w:val="1006"/>
        </w:numPr>
        <w:pStyle w:val="Compact"/>
      </w:pPr>
      <w:r>
        <w:rPr>
          <w:bCs/>
          <w:b/>
        </w:rPr>
        <w:t xml:space="preserve">User Electricity Emission Factor (Illustrative EU average):</w:t>
      </w:r>
      <w:r>
        <w:t xml:space="preserve"> </w:t>
      </w:r>
      <w:r>
        <w:t xml:space="preserve">0.25 kg CO2e/kWh.</w:t>
      </w:r>
    </w:p>
    <w:bookmarkEnd w:id="28"/>
    <w:bookmarkStart w:id="29" w:name="end-of-life-eol-data"/>
    <w:p>
      <w:pPr>
        <w:pStyle w:val="Heading3"/>
      </w:pPr>
      <w:r>
        <w:t xml:space="preserve">2.5. End-of-Life (EoL) Data</w:t>
      </w:r>
    </w:p>
    <w:p>
      <w:pPr>
        <w:numPr>
          <w:ilvl w:val="0"/>
          <w:numId w:val="1007"/>
        </w:numPr>
        <w:pStyle w:val="Compact"/>
      </w:pPr>
      <w:r>
        <w:rPr>
          <w:bCs/>
          <w:b/>
        </w:rPr>
        <w:t xml:space="preserve">Recyclability Percentage (`hoerenfwqw`):</w:t>
      </w:r>
      <w:r>
        <w:t xml:space="preserve"> </w:t>
      </w:r>
      <w:r>
        <w:t xml:space="preserve">65%.</w:t>
      </w:r>
    </w:p>
    <w:p>
      <w:pPr>
        <w:numPr>
          <w:ilvl w:val="0"/>
          <w:numId w:val="1007"/>
        </w:numPr>
        <w:pStyle w:val="Compact"/>
      </w:pPr>
      <w:r>
        <w:rPr>
          <w:bCs/>
          <w:b/>
        </w:rPr>
        <w:t xml:space="preserve">Circular/Take-back Programs (`pwoveezwmh`):</w:t>
      </w:r>
      <w:r>
        <w:t xml:space="preserve"> </w:t>
      </w:r>
      <w:r>
        <w:t xml:space="preserve">Product refurbishment and component reuse program in place.</w:t>
      </w:r>
    </w:p>
    <w:p>
      <w:pPr>
        <w:numPr>
          <w:ilvl w:val="0"/>
          <w:numId w:val="1007"/>
        </w:numPr>
        <w:pStyle w:val="Compact"/>
      </w:pPr>
      <w:r>
        <w:rPr>
          <w:bCs/>
          <w:b/>
        </w:rPr>
        <w:t xml:space="preserve">Disposal Emission Factor (Non-recycled portion):</w:t>
      </w:r>
      <w:r>
        <w:t xml:space="preserve"> </w:t>
      </w:r>
      <w:r>
        <w:t xml:space="preserve">Assumed 1.0 kg CO2e/kg for landfill/incineration of the non-recycled portion.</w:t>
      </w:r>
    </w:p>
    <w:p>
      <w:r>
        <w:pict>
          <v:rect style="width:0;height:1.5pt" o:hralign="center" o:hrstd="t" o:hr="t"/>
        </w:pict>
      </w:r>
    </w:p>
    <w:bookmarkEnd w:id="29"/>
    <w:bookmarkEnd w:id="30"/>
    <w:bookmarkStart w:id="37" w:name="X2c62247db19834934c44c209ad423fe06ba5c64"/>
    <w:p>
      <w:pPr>
        <w:pStyle w:val="Heading2"/>
      </w:pPr>
      <w:r>
        <w:t xml:space="preserve">3. Calculation of Emissions (Activity * Emission Factor = CO2e)</w:t>
      </w:r>
    </w:p>
    <w:p>
      <w:pPr>
        <w:pStyle w:val="FirstParagraph"/>
      </w:pPr>
      <w:r>
        <w:t xml:space="preserve">Emissions are calculated for each lifecycle stage and categorized according to the GHG Protocol.</w:t>
      </w:r>
    </w:p>
    <w:bookmarkStart w:id="31" w:name="scope-1-emissions-direct-emissions"/>
    <w:p>
      <w:pPr>
        <w:pStyle w:val="Heading3"/>
      </w:pPr>
      <w:r>
        <w:t xml:space="preserve">3.1. Scope 1 Emissions (Direct Emissions)</w:t>
      </w:r>
    </w:p>
    <w:p>
      <w:pPr>
        <w:pStyle w:val="FirstParagraph"/>
      </w:pPr>
      <w:r>
        <w:t xml:space="preserve">Assuming minor direct fuel combustion for facility heating or ancillary processes at the manufacturing plant not covered by purchased energy. This is an illustrative estimate as no specific fuel consumption data was provided.</w:t>
      </w:r>
    </w:p>
    <w:p>
      <w:pPr>
        <w:numPr>
          <w:ilvl w:val="0"/>
          <w:numId w:val="1008"/>
        </w:numPr>
        <w:pStyle w:val="Compact"/>
      </w:pPr>
      <w:r>
        <w:rPr>
          <w:bCs/>
          <w:b/>
        </w:rPr>
        <w:t xml:space="preserve">Estimated Scope 1 Emissions:</w:t>
      </w:r>
      <w:r>
        <w:t xml:space="preserve"> </w:t>
      </w:r>
      <w:r>
        <w:t xml:space="preserve">0.1 kg CO2e/unit</w:t>
      </w:r>
    </w:p>
    <w:bookmarkEnd w:id="31"/>
    <w:bookmarkStart w:id="32" w:name="scope-2-emissions-purchased-energy"/>
    <w:p>
      <w:pPr>
        <w:pStyle w:val="Heading3"/>
      </w:pPr>
      <w:r>
        <w:t xml:space="preserve">3.2. Scope 2 Emissions (Purchased Energy)</w:t>
      </w:r>
    </w:p>
    <w:p>
      <w:pPr>
        <w:pStyle w:val="FirstParagraph"/>
      </w:pPr>
      <w:r>
        <w:t xml:space="preserve">These emissions arise from the generation of purchased electricity used in the manufacturing of qefdhjmevg.</w:t>
      </w:r>
    </w:p>
    <w:p>
      <w:pPr>
        <w:numPr>
          <w:ilvl w:val="0"/>
          <w:numId w:val="1009"/>
        </w:numPr>
        <w:pStyle w:val="Compact"/>
      </w:pPr>
      <w:r>
        <w:t xml:space="preserve">Total electricity needed: 25 kWh/unit</w:t>
      </w:r>
    </w:p>
    <w:p>
      <w:pPr>
        <w:numPr>
          <w:ilvl w:val="0"/>
          <w:numId w:val="1009"/>
        </w:numPr>
        <w:pStyle w:val="Compact"/>
      </w:pPr>
      <w:r>
        <w:t xml:space="preserve">Renewable electricity (60%): 25 kWh * 0.60 = 15 kWh (0 kg CO2e)</w:t>
      </w:r>
    </w:p>
    <w:p>
      <w:pPr>
        <w:numPr>
          <w:ilvl w:val="0"/>
          <w:numId w:val="1009"/>
        </w:numPr>
        <w:pStyle w:val="Compact"/>
      </w:pPr>
      <w:r>
        <w:t xml:space="preserve">Non-renewable electricity (40%): 25 kWh * 0.40 = 10 kWh</w:t>
      </w:r>
    </w:p>
    <w:p>
      <w:pPr>
        <w:numPr>
          <w:ilvl w:val="0"/>
          <w:numId w:val="1009"/>
        </w:numPr>
        <w:pStyle w:val="Compact"/>
      </w:pPr>
      <w:r>
        <w:t xml:space="preserve">Emissions from non-renewable electricity: 10 kWh * 0.6 kg CO2e/kWh (China grid mix) = 6.0 kg CO2e/unit</w:t>
      </w:r>
    </w:p>
    <w:p>
      <w:pPr>
        <w:numPr>
          <w:ilvl w:val="0"/>
          <w:numId w:val="1009"/>
        </w:numPr>
        <w:pStyle w:val="Compact"/>
      </w:pPr>
      <w:r>
        <w:rPr>
          <w:bCs/>
          <w:b/>
        </w:rPr>
        <w:t xml:space="preserve">Total Scope 2 Emissions:</w:t>
      </w:r>
      <w:r>
        <w:t xml:space="preserve"> </w:t>
      </w:r>
      <w:r>
        <w:t xml:space="preserve">6.0 kg CO2e/unit</w:t>
      </w:r>
    </w:p>
    <w:bookmarkEnd w:id="32"/>
    <w:bookmarkStart w:id="35" w:name="scope-3-emissions-value-chain-emissions"/>
    <w:p>
      <w:pPr>
        <w:pStyle w:val="Heading3"/>
      </w:pPr>
      <w:r>
        <w:t xml:space="preserve">3.3. Scope 3 Emissions (Value Chain Emissions)</w:t>
      </w:r>
    </w:p>
    <w:p>
      <w:pPr>
        <w:pStyle w:val="FirstParagraph"/>
      </w:pPr>
      <w:r>
        <w:t xml:space="preserve">Scope 3 emissions are typically the largest portion of a product\'s carbon footprint and cover upstream and downstream activities.</w:t>
      </w:r>
    </w:p>
    <w:bookmarkStart w:id="33" w:name="upstream-emissions-categories-1-8"/>
    <w:p>
      <w:pPr>
        <w:pStyle w:val="Heading4"/>
      </w:pPr>
      <w:r>
        <w:t xml:space="preserve">3.3.1. Upstream Emissions (Categories 1-8)</w:t>
      </w:r>
    </w:p>
    <w:p>
      <w:pPr>
        <w:pStyle w:val="FirstParagraph"/>
      </w:pPr>
      <w:r>
        <w:rPr>
          <w:bCs/>
          <w:b/>
        </w:rPr>
        <w:t xml:space="preserve">Category 1: Purchased Goods and Services (Material Acquisition &amp; Pre-processing)</w:t>
      </w:r>
    </w:p>
    <w:p>
      <w:pPr>
        <w:numPr>
          <w:ilvl w:val="0"/>
          <w:numId w:val="1010"/>
        </w:numPr>
        <w:pStyle w:val="Compact"/>
      </w:pPr>
      <w:r>
        <w:t xml:space="preserve">Total Material Acquisition &amp; Pre-processing Impact: 6.15 kg CO2e/unit (from BOM table)</w:t>
      </w:r>
    </w:p>
    <w:p>
      <w:pPr>
        <w:pStyle w:val="FirstParagraph"/>
      </w:pPr>
      <w:r>
        <w:rPr>
          <w:bCs/>
          <w:b/>
        </w:rPr>
        <w:t xml:space="preserve">Category 4: Upstream Transportation and Distribution</w:t>
      </w:r>
    </w:p>
    <w:p>
      <w:pPr>
        <w:numPr>
          <w:ilvl w:val="0"/>
          <w:numId w:val="1011"/>
        </w:numPr>
        <w:pStyle w:val="Compact"/>
      </w:pPr>
      <w:r>
        <w:t xml:space="preserve">Inbound Ocean Freight: 0.001 tonne (product weight) * 15,000 km * 0.016 kg CO2e/tonne-km = 0.24 kg CO2e/unit</w:t>
      </w:r>
    </w:p>
    <w:p>
      <w:pPr>
        <w:numPr>
          <w:ilvl w:val="0"/>
          <w:numId w:val="1011"/>
        </w:numPr>
        <w:pStyle w:val="Compact"/>
      </w:pPr>
      <w:r>
        <w:t xml:space="preserve">Inbound Road Freight: 0.001 tonne (product weight) * 500 km * 0.1 kg CO2e/tonne-km = 0.05 kg CO2e/unit</w:t>
      </w:r>
    </w:p>
    <w:p>
      <w:pPr>
        <w:numPr>
          <w:ilvl w:val="0"/>
          <w:numId w:val="1011"/>
        </w:numPr>
        <w:pStyle w:val="Compact"/>
      </w:pPr>
      <w:r>
        <w:rPr>
          <w:bCs/>
          <w:b/>
        </w:rPr>
        <w:t xml:space="preserve">Total Upstream Transport Emissions:</w:t>
      </w:r>
      <w:r>
        <w:t xml:space="preserve"> </w:t>
      </w:r>
      <w:r>
        <w:t xml:space="preserve">0.24 + 0.05 = 0.29 kg CO2e/unit</w:t>
      </w:r>
    </w:p>
    <w:bookmarkEnd w:id="33"/>
    <w:bookmarkStart w:id="34" w:name="downstream-emissions-categories-9-15"/>
    <w:p>
      <w:pPr>
        <w:pStyle w:val="Heading4"/>
      </w:pPr>
      <w:r>
        <w:t xml:space="preserve">3.3.2. Downstream Emissions (Categories 9-15)</w:t>
      </w:r>
    </w:p>
    <w:p>
      <w:pPr>
        <w:pStyle w:val="FirstParagraph"/>
      </w:pPr>
      <w:r>
        <w:rPr>
          <w:bCs/>
          <w:b/>
        </w:rPr>
        <w:t xml:space="preserve">Category 9: Downstream Transportation and Distribution (Last-Mile Delivery)</w:t>
      </w:r>
    </w:p>
    <w:p>
      <w:pPr>
        <w:numPr>
          <w:ilvl w:val="0"/>
          <w:numId w:val="1012"/>
        </w:numPr>
        <w:pStyle w:val="Compact"/>
      </w:pPr>
      <w:r>
        <w:t xml:space="preserve">Last-Mile Road Freight: 0.001 tonne (product weight) * 200 km * 0.25 kg CO2e/tonne-km = 0.05 kg CO2e/unit</w:t>
      </w:r>
    </w:p>
    <w:p>
      <w:pPr>
        <w:numPr>
          <w:ilvl w:val="0"/>
          <w:numId w:val="1012"/>
        </w:numPr>
        <w:pStyle w:val="Compact"/>
      </w:pPr>
      <w:r>
        <w:rPr>
          <w:bCs/>
          <w:b/>
        </w:rPr>
        <w:t xml:space="preserve">Total Downstream Transport Emissions:</w:t>
      </w:r>
      <w:r>
        <w:t xml:space="preserve"> </w:t>
      </w:r>
      <w:r>
        <w:t xml:space="preserve">0.05 kg CO2e/unit</w:t>
      </w:r>
    </w:p>
    <w:p>
      <w:pPr>
        <w:pStyle w:val="FirstParagraph"/>
      </w:pPr>
      <w:r>
        <w:rPr>
          <w:bCs/>
          <w:b/>
        </w:rPr>
        <w:t xml:space="preserve">Category 11: Use of Sold Products</w:t>
      </w:r>
    </w:p>
    <w:p>
      <w:pPr>
        <w:numPr>
          <w:ilvl w:val="0"/>
          <w:numId w:val="1013"/>
        </w:numPr>
        <w:pStyle w:val="Compact"/>
      </w:pPr>
      <w:r>
        <w:t xml:space="preserve">Total energy consumption over lifespan: 8 kWh/year * 7 years = 56 kWh</w:t>
      </w:r>
    </w:p>
    <w:p>
      <w:pPr>
        <w:numPr>
          <w:ilvl w:val="0"/>
          <w:numId w:val="1013"/>
        </w:numPr>
        <w:pStyle w:val="Compact"/>
      </w:pPr>
      <w:r>
        <w:t xml:space="preserve">Emissions from use phase: 56 kWh * 0.25 kg CO2e/kWh (illustrative EU average) = 14.0 kg CO2e/unit</w:t>
      </w:r>
    </w:p>
    <w:p>
      <w:pPr>
        <w:numPr>
          <w:ilvl w:val="0"/>
          <w:numId w:val="1013"/>
        </w:numPr>
        <w:pStyle w:val="Compact"/>
      </w:pPr>
      <w:r>
        <w:rPr>
          <w:bCs/>
          <w:b/>
        </w:rPr>
        <w:t xml:space="preserve">Total Use Phase Emissions:</w:t>
      </w:r>
      <w:r>
        <w:t xml:space="preserve"> </w:t>
      </w:r>
      <w:r>
        <w:t xml:space="preserve">14.0 kg CO2e/unit</w:t>
      </w:r>
    </w:p>
    <w:p>
      <w:pPr>
        <w:pStyle w:val="FirstParagraph"/>
      </w:pPr>
      <w:r>
        <w:rPr>
          <w:bCs/>
          <w:b/>
        </w:rPr>
        <w:t xml:space="preserve">Category 12: End-of-Life Treatment of Sold Products</w:t>
      </w:r>
    </w:p>
    <w:p>
      <w:pPr>
        <w:numPr>
          <w:ilvl w:val="0"/>
          <w:numId w:val="1014"/>
        </w:numPr>
        <w:pStyle w:val="Compact"/>
      </w:pPr>
      <w:r>
        <w:t xml:space="preserve">Mass disposed (non-recycled): 1.0 kg (product weight) * (1 - 0.65) = 0.35 kg</w:t>
      </w:r>
    </w:p>
    <w:p>
      <w:pPr>
        <w:numPr>
          <w:ilvl w:val="0"/>
          <w:numId w:val="1014"/>
        </w:numPr>
        <w:pStyle w:val="Compact"/>
      </w:pPr>
      <w:r>
        <w:t xml:space="preserve">Emissions from disposal: 0.35 kg * 1.0 kg CO2e/kg = 0.35 kg CO2e/unit</w:t>
      </w:r>
    </w:p>
    <w:p>
      <w:pPr>
        <w:numPr>
          <w:ilvl w:val="0"/>
          <w:numId w:val="1014"/>
        </w:numPr>
        <w:pStyle w:val="Compact"/>
      </w:pPr>
      <w:r>
        <w:t xml:space="preserve">The 65% recyclability and presence of circular/take-back programs significantly reduce the overall EoL impact by diverting waste from landfill/incineration and potentially generating avoided emissions in downstream cycles. These avoided emissions are considered benefits beyond the product\'s system boundary in a strict cradle-to-grave PCF and are not subtracted from the current product\'s footprint but are highlighted as circular economy benefits.</w:t>
      </w:r>
    </w:p>
    <w:p>
      <w:pPr>
        <w:numPr>
          <w:ilvl w:val="0"/>
          <w:numId w:val="1014"/>
        </w:numPr>
        <w:pStyle w:val="Compact"/>
      </w:pPr>
      <w:r>
        <w:rPr>
          <w:bCs/>
          <w:b/>
        </w:rPr>
        <w:t xml:space="preserve">Total End-of-Life Emissions (disposal portion):</w:t>
      </w:r>
      <w:r>
        <w:t xml:space="preserve"> </w:t>
      </w:r>
      <w:r>
        <w:t xml:space="preserve">0.35 kg CO2e/unit</w:t>
      </w:r>
    </w:p>
    <w:bookmarkEnd w:id="34"/>
    <w:bookmarkEnd w:id="35"/>
    <w:bookmarkStart w:id="36" w:name="total-product-carbon-footprint"/>
    <w:p>
      <w:pPr>
        <w:pStyle w:val="Heading3"/>
      </w:pPr>
      <w:r>
        <w:t xml:space="preserve">3.4. Total Product Carbon Footprint</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GHG Scope / Lifecycle Stage</w:t>
            </w:r>
          </w:p>
        </w:tc>
        <w:tc>
          <w:tcPr/>
          <w:p>
            <w:pPr>
              <w:pStyle w:val="Compact"/>
              <w:jc w:val="left"/>
            </w:pPr>
            <w:r>
              <w:t xml:space="preserve">Emissions (kg CO2e/unit)</w:t>
            </w:r>
          </w:p>
        </w:tc>
      </w:tr>
      <w:tr>
        <w:tc>
          <w:tcPr/>
          <w:p>
            <w:pPr>
              <w:pStyle w:val="Compact"/>
              <w:jc w:val="left"/>
            </w:pPr>
            <w:r>
              <w:rPr>
                <w:bCs/>
                <w:b/>
              </w:rPr>
              <w:t xml:space="preserve">Scope 1: Direct Emissions</w:t>
            </w:r>
          </w:p>
        </w:tc>
        <w:tc>
          <w:tcPr/>
          <w:p>
            <w:pPr>
              <w:pStyle w:val="Compact"/>
              <w:jc w:val="left"/>
            </w:pPr>
            <w:r>
              <w:t xml:space="preserve">0.10</w:t>
            </w:r>
          </w:p>
        </w:tc>
      </w:tr>
      <w:tr>
        <w:tc>
          <w:tcPr/>
          <w:p>
            <w:pPr>
              <w:pStyle w:val="Compact"/>
              <w:jc w:val="left"/>
            </w:pPr>
            <w:r>
              <w:rPr>
                <w:bCs/>
                <w:b/>
              </w:rPr>
              <w:t xml:space="preserve">Scope 2: Purchased Energy (Production)</w:t>
            </w:r>
          </w:p>
        </w:tc>
        <w:tc>
          <w:tcPr/>
          <w:p>
            <w:pPr>
              <w:pStyle w:val="Compact"/>
              <w:jc w:val="left"/>
            </w:pPr>
            <w:r>
              <w:t xml:space="preserve">6.00</w:t>
            </w:r>
          </w:p>
        </w:tc>
      </w:tr>
      <w:tr>
        <w:tc>
          <w:tcPr/>
          <w:p>
            <w:pPr>
              <w:pStyle w:val="Compact"/>
              <w:jc w:val="left"/>
            </w:pPr>
            <w:r>
              <w:rPr>
                <w:bCs/>
                <w:b/>
              </w:rPr>
              <w:t xml:space="preserve">Scope 3: Value Chain Emissions</w:t>
            </w:r>
          </w:p>
        </w:tc>
        <w:tc>
          <w:tcPr/>
          <w:p>
            <w:pPr>
              <w:pStyle w:val="Compact"/>
            </w:pPr>
          </w:p>
        </w:tc>
      </w:tr>
      <w:tr>
        <w:tc>
          <w:tcPr/>
          <w:p>
            <w:pPr>
              <w:pStyle w:val="Compact"/>
              <w:jc w:val="left"/>
            </w:pPr>
            <w:r>
              <w:t xml:space="preserve">    Upstream: Purchased Goods &amp; Services (Materials)</w:t>
            </w:r>
          </w:p>
        </w:tc>
        <w:tc>
          <w:tcPr/>
          <w:p>
            <w:pPr>
              <w:pStyle w:val="Compact"/>
              <w:jc w:val="left"/>
            </w:pPr>
            <w:r>
              <w:t xml:space="preserve">6.15</w:t>
            </w:r>
          </w:p>
        </w:tc>
      </w:tr>
      <w:tr>
        <w:tc>
          <w:tcPr/>
          <w:p>
            <w:pPr>
              <w:pStyle w:val="Compact"/>
              <w:jc w:val="left"/>
            </w:pPr>
            <w:r>
              <w:t xml:space="preserve">    Upstream: Transport (Inbound)</w:t>
            </w:r>
          </w:p>
        </w:tc>
        <w:tc>
          <w:tcPr/>
          <w:p>
            <w:pPr>
              <w:pStyle w:val="Compact"/>
              <w:jc w:val="left"/>
            </w:pPr>
            <w:r>
              <w:t xml:space="preserve">0.29</w:t>
            </w:r>
          </w:p>
        </w:tc>
      </w:tr>
      <w:tr>
        <w:tc>
          <w:tcPr/>
          <w:p>
            <w:pPr>
              <w:pStyle w:val="Compact"/>
              <w:jc w:val="left"/>
            </w:pPr>
            <w:r>
              <w:t xml:space="preserve">    Downstream: Transport (Last-Mile)</w:t>
            </w:r>
          </w:p>
        </w:tc>
        <w:tc>
          <w:tcPr/>
          <w:p>
            <w:pPr>
              <w:pStyle w:val="Compact"/>
              <w:jc w:val="left"/>
            </w:pPr>
            <w:r>
              <w:t xml:space="preserve">0.05</w:t>
            </w:r>
          </w:p>
        </w:tc>
      </w:tr>
      <w:tr>
        <w:tc>
          <w:tcPr/>
          <w:p>
            <w:pPr>
              <w:pStyle w:val="Compact"/>
              <w:jc w:val="left"/>
            </w:pPr>
            <w:r>
              <w:t xml:space="preserve">    Downstream: Use of Sold Products</w:t>
            </w:r>
          </w:p>
        </w:tc>
        <w:tc>
          <w:tcPr/>
          <w:p>
            <w:pPr>
              <w:pStyle w:val="Compact"/>
              <w:jc w:val="left"/>
            </w:pPr>
            <w:r>
              <w:t xml:space="preserve">14.00</w:t>
            </w:r>
          </w:p>
        </w:tc>
      </w:tr>
      <w:tr>
        <w:tc>
          <w:tcPr/>
          <w:p>
            <w:pPr>
              <w:pStyle w:val="Compact"/>
              <w:jc w:val="left"/>
            </w:pPr>
            <w:r>
              <w:t xml:space="preserve">    Downstream: End-of-Life Treatment (Disposal)</w:t>
            </w:r>
          </w:p>
        </w:tc>
        <w:tc>
          <w:tcPr/>
          <w:p>
            <w:pPr>
              <w:pStyle w:val="Compact"/>
              <w:jc w:val="left"/>
            </w:pPr>
            <w:r>
              <w:t xml:space="preserve">0.35</w:t>
            </w:r>
          </w:p>
        </w:tc>
      </w:tr>
      <w:tr>
        <w:tc>
          <w:tcPr/>
          <w:p>
            <w:pPr>
              <w:pStyle w:val="Compact"/>
              <w:jc w:val="right"/>
            </w:pPr>
            <w:r>
              <w:rPr>
                <w:bCs/>
                <w:b/>
              </w:rPr>
              <w:t xml:space="preserve">Total Product Carbon Footprint (qefdhjmevg):</w:t>
            </w:r>
          </w:p>
        </w:tc>
        <w:tc>
          <w:tcPr/>
          <w:p>
            <w:pPr>
              <w:pStyle w:val="Compact"/>
              <w:jc w:val="left"/>
            </w:pPr>
            <w:r>
              <w:rPr>
                <w:bCs/>
                <w:b/>
              </w:rPr>
              <w:t xml:space="preserve">26.94 kg CO2e/unit</w:t>
            </w:r>
          </w:p>
        </w:tc>
      </w:tr>
    </w:tbl>
    <w:p>
      <w:r>
        <w:pict>
          <v:rect style="width:0;height:1.5pt" o:hralign="center" o:hrstd="t" o:hr="t"/>
        </w:pict>
      </w:r>
    </w:p>
    <w:bookmarkEnd w:id="36"/>
    <w:bookmarkEnd w:id="37"/>
    <w:bookmarkStart w:id="41" w:name="ghg-protocol-compliance-and-2026-updates"/>
    <w:p>
      <w:pPr>
        <w:pStyle w:val="Heading2"/>
      </w:pPr>
      <w:r>
        <w:t xml:space="preserve">4. GHG Protocol Compliance and 2026 Updates</w:t>
      </w:r>
    </w:p>
    <w:bookmarkStart w:id="38" w:name="adherence-to-ghg-protocol-scopes"/>
    <w:p>
      <w:pPr>
        <w:pStyle w:val="Heading3"/>
      </w:pPr>
      <w:r>
        <w:t xml:space="preserve">4.1. Adherence to GHG Protocol Scopes</w:t>
      </w:r>
    </w:p>
    <w:p>
      <w:pPr>
        <w:pStyle w:val="FirstParagraph"/>
      </w:pPr>
      <w:r>
        <w:t xml:space="preserve">This report has meticulously categorized emissions in accordance with the GHG Protocol\'s framework:</w:t>
      </w:r>
    </w:p>
    <w:p>
      <w:pPr>
        <w:numPr>
          <w:ilvl w:val="0"/>
          <w:numId w:val="1015"/>
        </w:numPr>
        <w:pStyle w:val="Compact"/>
      </w:pPr>
      <w:r>
        <w:rPr>
          <w:bCs/>
          <w:b/>
        </w:rPr>
        <w:t xml:space="preserve">Scope 1:</w:t>
      </w:r>
      <w:r>
        <w:t xml:space="preserve"> </w:t>
      </w:r>
      <w:r>
        <w:t xml:space="preserve">Direct emissions from owned or controlled sources. Our analysis includes an estimated 0.1 kg CO2e/unit from direct manufacturing operations.</w:t>
      </w:r>
    </w:p>
    <w:p>
      <w:pPr>
        <w:numPr>
          <w:ilvl w:val="0"/>
          <w:numId w:val="1015"/>
        </w:numPr>
        <w:pStyle w:val="Compact"/>
      </w:pPr>
      <w:r>
        <w:rPr>
          <w:bCs/>
          <w:b/>
        </w:rPr>
        <w:t xml:space="preserve">Scope 2:</w:t>
      </w:r>
      <w:r>
        <w:t xml:space="preserve"> </w:t>
      </w:r>
      <w:r>
        <w:t xml:space="preserve">Indirect emissions from the generation of purchased electricity, heat, or steam. Our calculation of 6.0 kg CO2e/unit for production energy directly falls under this scope.</w:t>
      </w:r>
    </w:p>
    <w:p>
      <w:pPr>
        <w:numPr>
          <w:ilvl w:val="0"/>
          <w:numId w:val="1015"/>
        </w:numPr>
        <w:pStyle w:val="Compact"/>
      </w:pPr>
      <w:r>
        <w:rPr>
          <w:bCs/>
          <w:b/>
        </w:rPr>
        <w:t xml:space="preserve">Scope 3:</w:t>
      </w:r>
      <w:r>
        <w:t xml:space="preserve"> </w:t>
      </w:r>
      <w:r>
        <w:t xml:space="preserve">All other indirect emissions that occur in the value chain of the reporting company, both upstream and downstream. This constitutes the majority of the PCF for qefdhjmevg, encompassing materials, transportation (inbound and last-mile), use phase, and end-of-life, totaling 20.84 kg CO2e/unit.</w:t>
      </w:r>
    </w:p>
    <w:bookmarkEnd w:id="38"/>
    <w:bookmarkStart w:id="39" w:name="land-sector-and-removals-lsr-update"/>
    <w:p>
      <w:pPr>
        <w:pStyle w:val="Heading3"/>
      </w:pPr>
      <w:r>
        <w:t xml:space="preserve">4.2. 2026 Land Sector and Removals (LSR) Update</w:t>
      </w:r>
    </w:p>
    <w:p>
      <w:pPr>
        <w:pStyle w:val="FirstParagraph"/>
      </w:pPr>
      <w:r>
        <w:t xml:space="preserve">The GHG Protocol\'s Land Sector and Removals (LSR) Standard v1.0, released on January 30, 2026, and effective January 1, 2027, provides a unified framework for companies to measure and report land-related GHG emissions and CO2 removals. While the detailed guidance for the LSR Standard is expected in Q2 2026, its principles are acknowledged. For product qefdhjmevg, direct land-use emissions are not a primary driver, given its nature. However, potential upstream impacts from the cultivation or harvesting of certain raw materials (e.g., bio-based plastics, if used, or impacts related to mining sites) would need to be assessed under the LSR Standard\'s guidance in future, more granular analyses, particularly for food and agriculture sectors or companies with significant land-based activities.</w:t>
      </w:r>
    </w:p>
    <w:bookmarkEnd w:id="39"/>
    <w:bookmarkStart w:id="40" w:name="scope-3-compliance-2026-requirements"/>
    <w:p>
      <w:pPr>
        <w:pStyle w:val="Heading3"/>
      </w:pPr>
      <w:r>
        <w:t xml:space="preserve">4.3. Scope 3 Compliance (2026 Requirements)</w:t>
      </w:r>
    </w:p>
    <w:p>
      <w:pPr>
        <w:pStyle w:val="FirstParagraph"/>
      </w:pPr>
      <w:r>
        <w:t xml:space="preserve">The GHG Protocol\'s proposed revisions to its Scope 3 Standard, outlined in a March 2026 progress update, introduce a prescriptive completeness requirement. Companies are expected to account for and report at least 95% of total required Scope 3 emissions, with exclusions not exceeding 5%. This report strives for comprehensive coverage, encompassing all major Scope 3 categories identified for qefdhjmevg, thereby aligning with the spirit of the 2026 requirements for near-complete value chain emissions reporting. The analysis covers key categories like Purchased Goods and Services, Upstream/Downstream Transportation, Use of Sold Products, and End-of-Life Treatment of Sold Products, ensuring a robust and compliant assessment.</w:t>
      </w:r>
    </w:p>
    <w:p>
      <w:r>
        <w:pict>
          <v:rect style="width:0;height:1.5pt" o:hralign="center" o:hrstd="t" o:hr="t"/>
        </w:pict>
      </w:r>
    </w:p>
    <w:bookmarkEnd w:id="40"/>
    <w:bookmarkEnd w:id="41"/>
    <w:bookmarkStart w:id="44" w:name="review-report-hotspots-and-reliability"/>
    <w:p>
      <w:pPr>
        <w:pStyle w:val="Heading2"/>
      </w:pPr>
      <w:r>
        <w:t xml:space="preserve">5. Review &amp; Report: Hotspots and Reliability</w:t>
      </w:r>
    </w:p>
    <w:p>
      <w:pPr>
        <w:pStyle w:val="FirstParagraph"/>
      </w:pPr>
      <w:r>
        <w:t xml:space="preserve">The total Product Carbon Footprint for qefdhjmevg is calculated at **26.94 kg CO2e/unit**.</w:t>
      </w:r>
    </w:p>
    <w:bookmarkStart w:id="42" w:name="emission-hotspots"/>
    <w:p>
      <w:pPr>
        <w:pStyle w:val="Heading3"/>
      </w:pPr>
      <w:r>
        <w:t xml:space="preserve">5.1. Emission Hotspots</w:t>
      </w:r>
    </w:p>
    <w:p>
      <w:pPr>
        <w:pStyle w:val="FirstParagraph"/>
      </w:pPr>
      <w:r>
        <w:t xml:space="preserve">Analysis of the lifecycle stages reveals the following hotspots for qefdhjmevg:</w:t>
      </w:r>
    </w:p>
    <w:p>
      <w:pPr>
        <w:numPr>
          <w:ilvl w:val="0"/>
          <w:numId w:val="1016"/>
        </w:numPr>
        <w:pStyle w:val="Compact"/>
      </w:pPr>
      <w:r>
        <w:rPr>
          <w:bCs/>
          <w:b/>
        </w:rPr>
        <w:t xml:space="preserve">Use Phase (14.0 kg CO2e):</w:t>
      </w:r>
      <w:r>
        <w:t xml:space="preserve"> </w:t>
      </w:r>
      <w:r>
        <w:t xml:space="preserve">The most significant contributor to the PCF, accounting for approximately 52% of total emissions. This highlights the importance of energy efficiency during the product\'s operational lifespan.</w:t>
      </w:r>
    </w:p>
    <w:p>
      <w:pPr>
        <w:numPr>
          <w:ilvl w:val="0"/>
          <w:numId w:val="1016"/>
        </w:numPr>
        <w:pStyle w:val="Compact"/>
      </w:pPr>
      <w:r>
        <w:rPr>
          <w:bCs/>
          <w:b/>
        </w:rPr>
        <w:t xml:space="preserve">Material Acquisition &amp; Pre-processing (6.15 kg CO2e):</w:t>
      </w:r>
      <w:r>
        <w:t xml:space="preserve"> </w:t>
      </w:r>
      <w:r>
        <w:t xml:space="preserve">Represents about 23% of the total footprint, driven by the embodied emissions of materials like aluminum and lithium-ion batteries.</w:t>
      </w:r>
    </w:p>
    <w:p>
      <w:pPr>
        <w:numPr>
          <w:ilvl w:val="0"/>
          <w:numId w:val="1016"/>
        </w:numPr>
        <w:pStyle w:val="Compact"/>
      </w:pPr>
      <w:r>
        <w:rPr>
          <w:bCs/>
          <w:b/>
        </w:rPr>
        <w:t xml:space="preserve">Production Energy (Scope 2) (6.0 kg CO2e):</w:t>
      </w:r>
      <w:r>
        <w:t xml:space="preserve"> </w:t>
      </w:r>
      <w:r>
        <w:t xml:space="preserve">Accounts for approximately 22% of the total, despite 60% renewable energy usage. The remaining 40% from the China grid mix significantly contributes.</w:t>
      </w:r>
    </w:p>
    <w:bookmarkEnd w:id="42"/>
    <w:bookmarkStart w:id="43" w:name="reliability-and-recommendations"/>
    <w:p>
      <w:pPr>
        <w:pStyle w:val="Heading3"/>
      </w:pPr>
      <w:r>
        <w:t xml:space="preserve">5.2. Reliability and Recommendations</w:t>
      </w:r>
    </w:p>
    <w:p>
      <w:pPr>
        <w:pStyle w:val="FirstParagraph"/>
      </w:pPr>
      <w:r>
        <w:t xml:space="preserve">The reliability of this PCF analysis is good, given the detailed BOM and specific operational parameters provided. However, the use of illustrative and industry-average emission factors (e.g., from Ecoinvent/DEFRA) for materials and generic electricity mixes for the use phase introduces a degree of uncertainty. To enhance reliability:</w:t>
      </w:r>
    </w:p>
    <w:p>
      <w:pPr>
        <w:numPr>
          <w:ilvl w:val="0"/>
          <w:numId w:val="1017"/>
        </w:numPr>
        <w:pStyle w:val="Compact"/>
      </w:pPr>
      <w:r>
        <w:rPr>
          <w:bCs/>
          <w:b/>
        </w:rPr>
        <w:t xml:space="preserve">Primary Data Collection:</w:t>
      </w:r>
      <w:r>
        <w:t xml:space="preserve"> </w:t>
      </w:r>
      <w:r>
        <w:t xml:space="preserve">Prioritize collecting supplier-specific primary data for key materials and inbound logistics. This is increasingly emphasized by GHG Protocol updates for Scope 3 reporting.</w:t>
      </w:r>
    </w:p>
    <w:p>
      <w:pPr>
        <w:numPr>
          <w:ilvl w:val="0"/>
          <w:numId w:val="1017"/>
        </w:numPr>
        <w:pStyle w:val="Compact"/>
      </w:pPr>
      <w:r>
        <w:rPr>
          <w:bCs/>
          <w:b/>
        </w:rPr>
        <w:t xml:space="preserve">Energy Mix for Use Phase:</w:t>
      </w:r>
      <w:r>
        <w:t xml:space="preserve"> </w:t>
      </w:r>
      <w:r>
        <w:t xml:space="preserve">Investigate typical user electricity mixes in target markets to refine use phase emissions.</w:t>
      </w:r>
    </w:p>
    <w:p>
      <w:pPr>
        <w:numPr>
          <w:ilvl w:val="0"/>
          <w:numId w:val="1017"/>
        </w:numPr>
        <w:pStyle w:val="Compact"/>
      </w:pPr>
      <w:r>
        <w:rPr>
          <w:bCs/>
          <w:b/>
        </w:rPr>
        <w:t xml:space="preserve">Circular Economy Impact:</w:t>
      </w:r>
      <w:r>
        <w:t xml:space="preserve"> </w:t>
      </w:r>
      <w:r>
        <w:t xml:space="preserve">Quantify the exact avoided emissions from recycling and refurbishment programs to demonstrate the full environmental benefit of circular initiatives.</w:t>
      </w:r>
    </w:p>
    <w:p>
      <w:pPr>
        <w:numPr>
          <w:ilvl w:val="0"/>
          <w:numId w:val="1017"/>
        </w:numPr>
        <w:pStyle w:val="Compact"/>
      </w:pPr>
      <w:r>
        <w:rPr>
          <w:bCs/>
          <w:b/>
        </w:rPr>
        <w:t xml:space="preserve">Design for Environment:</w:t>
      </w:r>
      <w:r>
        <w:t xml:space="preserve"> </w:t>
      </w:r>
      <w:r>
        <w:t xml:space="preserve">Focus on reducing energy consumption in the use phase and explore alternative, lower-impact materials for manufacturing, especially for high-impact components like aluminum and batteries.</w:t>
      </w:r>
    </w:p>
    <w:p>
      <w:pPr>
        <w:numPr>
          <w:ilvl w:val="0"/>
          <w:numId w:val="1017"/>
        </w:numPr>
        <w:pStyle w:val="Compact"/>
      </w:pPr>
      <w:r>
        <w:rPr>
          <w:bCs/>
          <w:b/>
        </w:rPr>
        <w:t xml:space="preserve">Logistics Optimization:</w:t>
      </w:r>
      <w:r>
        <w:t xml:space="preserve"> </w:t>
      </w:r>
      <w:r>
        <w:t xml:space="preserve">Further optimize transport routes, modes, and load factors to minimize associated emissions.</w:t>
      </w:r>
    </w:p>
    <w:p>
      <w:r>
        <w:pict>
          <v:rect style="width:0;height:1.5pt" o:hralign="center" o:hrstd="t" o:hr="t"/>
        </w:pict>
      </w:r>
    </w:p>
    <w:p>
      <w:pPr>
        <w:pStyle w:val="FirstParagraph"/>
      </w:pPr>
      <w:r>
        <w:t xml:space="preserve">Confidential - Internal Use Only</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qefdhjmevg</dc:title>
  <dc:creator/>
  <dc:description>Detailed Product Carbon Footprint (PCF) analysis report for qefdhjmevg by ypsmyjrqxx, conducted by Senior Sustainability Consultant ztoqtvoifo, adhering to GHG Protocol and 2026 LSR Update requirements.</dc:description>
  <dc:language>en</dc:language>
  <cp:keywords/>
  <dcterms:created xsi:type="dcterms:W3CDTF">2026-07-15T07:07:14Z</dcterms:created>
  <dcterms:modified xsi:type="dcterms:W3CDTF">2026-07-15T07:07:14Z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