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pxusnwvfou</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xusnwvfou"/>
    <w:p>
      <w:pPr>
        <w:pStyle w:val="Heading2"/>
      </w:pPr>
      <w:r>
        <w:t xml:space="preserve">for pxusnwvfou</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phrevfvpzp</w:t>
      </w:r>
    </w:p>
    <w:p>
      <w:pPr>
        <w:pStyle w:val="BodyText"/>
      </w:pPr>
      <w:r>
        <w:rPr>
          <w:bCs/>
          <w:b/>
        </w:rPr>
        <w:t xml:space="preserve">Senior Sustainability Consultant:</w:t>
      </w:r>
      <w:r>
        <w:t xml:space="preserve"> </w:t>
      </w:r>
      <w:r>
        <w:t xml:space="preserve">kodzympzln</w:t>
      </w:r>
    </w:p>
    <w:p>
      <w:pPr>
        <w:pStyle w:val="BodyText"/>
      </w:pPr>
      <w:r>
        <w:t xml:space="preserve">Disclaimer: This report is generated based on available data and industry standards. While efforts have been made to ensure accuracy,</w:t>
      </w:r>
      <w:r>
        <w:t xml:space="preserve"> </w:t>
      </w:r>
      <w:r>
        <w:t xml:space="preserve">the calculations are illustrative and rely on placeholder parameters and generic emission factors.</w:t>
      </w:r>
      <w:r>
        <w:t xml:space="preserve"> </w:t>
      </w:r>
      <w:r>
        <w:t xml:space="preserve">Further primary data collection would be required for definitive and precise results.</w:t>
      </w:r>
    </w:p>
    <w:bookmarkEnd w:id="20"/>
    <w:bookmarkEnd w:id="21"/>
    <w:bookmarkStart w:id="40" w:name="X5d34f56b9629b9b18c09a8f57c354d25bef792b"/>
    <w:p>
      <w:pPr>
        <w:pStyle w:val="Heading1"/>
      </w:pPr>
      <w:r>
        <w:t xml:space="preserve">Product Carbon Footprint (PCF) Analysis Report for pxusnwvfou</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pxusnwvfou, manufactured by phrevfvpzp.</w:t>
      </w:r>
      <w:r>
        <w:t xml:space="preserve"> </w:t>
      </w:r>
      <w:r>
        <w:t xml:space="preserve">Conducted by kodzympzln, Senior Sustainability Consultant, this analysis adheres strictly to the GHG Protocol,</w:t>
      </w:r>
      <w:r>
        <w:t xml:space="preserve"> </w:t>
      </w:r>
      <w:r>
        <w:t xml:space="preserve">including the latest 2026 Land Sector and Removals (LSR) Standard. The objective is to quantify the greenhouse gas (GHG)</w:t>
      </w:r>
      <w:r>
        <w:t xml:space="preserve"> </w:t>
      </w:r>
      <w:r>
        <w:t xml:space="preserve">emissions associated with the product\'s entire lifecycle, from raw material acquisition to end-of-life,</w:t>
      </w:r>
      <w:r>
        <w:t xml:space="preserve"> </w:t>
      </w:r>
      <w:r>
        <w:t xml:space="preserve">and identify key emission hotspots. A functional unit of 1.0 unit is used, with a system boundary defined</w:t>
      </w:r>
      <w:r>
        <w:t xml:space="preserve"> </w:t>
      </w:r>
      <w:r>
        <w:t xml:space="preserve">as \'factory_gate\' for the initial assessment, extending to cover the full lifecycle.</w:t>
      </w:r>
      <w:r>
        <w:t xml:space="preserve"> </w:t>
      </w:r>
      <w:r>
        <w:t xml:space="preserve">The geographic scope focuses on final production in China with a European-focused supply chain.</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this PCF analysis involves clearly defining the parameters that govern the assessment,</w:t>
      </w:r>
      <w:r>
        <w:t xml:space="preserve"> </w:t>
      </w:r>
      <w:r>
        <w:t xml:space="preserve">ensuring consistency and comparability of results.</w:t>
      </w:r>
    </w:p>
    <w:p>
      <w:pPr>
        <w:numPr>
          <w:ilvl w:val="0"/>
          <w:numId w:val="1001"/>
        </w:numPr>
        <w:pStyle w:val="Compact"/>
      </w:pPr>
      <w:r>
        <w:rPr>
          <w:bCs/>
          <w:b/>
        </w:rPr>
        <w:t xml:space="preserve">Functional Unit:</w:t>
      </w:r>
      <w:r>
        <w:t xml:space="preserve"> </w:t>
      </w:r>
      <w:r>
        <w:t xml:space="preserve">The reference unit for the product\'s performance is defined as 1.0 unit of pxusnwvfou.</w:t>
      </w:r>
    </w:p>
    <w:p>
      <w:pPr>
        <w:numPr>
          <w:ilvl w:val="0"/>
          <w:numId w:val="1001"/>
        </w:numPr>
        <w:pStyle w:val="Compact"/>
      </w:pPr>
      <w:r>
        <w:rPr>
          <w:bCs/>
          <w:b/>
        </w:rPr>
        <w:t xml:space="preserve">System Boundary:</w:t>
      </w:r>
      <w:r>
        <w:t xml:space="preserve"> </w:t>
      </w:r>
      <w:r>
        <w:t xml:space="preserve">The analysis initially considers a \'factory_gate\' boundary for direct manufacturing emissions, but expands to a \'cradle-to-grave\' approach to include all relevant lifecycle stages as per GHG Protocol requirements.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The analysis strictly adheres to the Greenhouse Gas (GHG) Protocol, encompassing Scope 1, Scope 2, and Scope 3 emissions. Special attention is paid to the 2026 Land Sector and Removals (LSR) Standard, incorporating land use and carbon removal considerations where applicable.</w:t>
      </w:r>
    </w:p>
    <w:p>
      <w:pPr>
        <w:numPr>
          <w:ilvl w:val="0"/>
          <w:numId w:val="1001"/>
        </w:numPr>
        <w:pStyle w:val="Compact"/>
      </w:pPr>
      <w:r>
        <w:rPr>
          <w:bCs/>
          <w:b/>
        </w:rPr>
        <w:t xml:space="preserve">Allocation:</w:t>
      </w:r>
      <w:r>
        <w:t xml:space="preserve"> </w:t>
      </w:r>
      <w:r>
        <w:t xml:space="preserve">Where co-production or multi-functional processes occur, emissions are allocated based on relevant physical relationships (e.g., mass, energy content) or economic value, as per GHG Protocol guidance.</w:t>
      </w:r>
    </w:p>
    <w:p>
      <w:r>
        <w:pict>
          <v:rect style="width:0;height:1.5pt" o:hralign="center" o:hrstd="t" o:hr="t"/>
        </w:pict>
      </w:r>
    </w:p>
    <w:bookmarkEnd w:id="23"/>
    <w:bookmarkStart w:id="29"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considered and the data collection strategy, emphasizing the use of primary data from phrevfvpzp and industry-standard emission factors.</w:t>
      </w:r>
    </w:p>
    <w:bookmarkStart w:id="24" w:name="X513179ddf57a0ae4baee8c6a26a1c3e81399878"/>
    <w:p>
      <w:pPr>
        <w:pStyle w:val="Heading3"/>
      </w:pPr>
      <w:r>
        <w:t xml:space="preserve">Material Acquisition and Production (Scope 3 - Upstream)</w:t>
      </w:r>
    </w:p>
    <w:p>
      <w:pPr>
        <w:pStyle w:val="FirstParagraph"/>
      </w:pPr>
      <w:r>
        <w:t xml:space="preserve">The materials impact calculation utilizes the provided Detailed Bill of Materials (BOM) for pxusnwvfou (tpgyogrp),</w:t>
      </w:r>
      <w:r>
        <w:t xml:space="preserve"> </w:t>
      </w:r>
      <w:r>
        <w:t xml:space="preserve">ensuring high accuracy by using specific emission factors and total carbon values.</w:t>
      </w:r>
      <w:r>
        <w:t xml:space="preserve"> </w:t>
      </w:r>
      <w:r>
        <w:t xml:space="preserve">The BOM data is structured with ID, Description, Category, Process, Quantity, Unit, Emission Factor (kgCO2e/Unit), and Total Carbon (kgCO2e).</w:t>
      </w:r>
    </w:p>
    <w:p>
      <w:pPr>
        <w:pStyle w:val="BodyText"/>
      </w:pPr>
      <w:r>
        <w:t xml:space="preserve">**Illustrative Bill of Materials (BOM) Data (tpgyogrp):**</w:t>
      </w:r>
      <w:r>
        <w:t xml:space="preserve"> </w:t>
      </w:r>
      <w:r>
        <w:t xml:space="preserve">(Note: As \'tpgyogrp\' is a placeholder, example data is used here to show structure and calculation. The "Total Carbon" values are used as direct inputs for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M3</w:t>
            </w:r>
          </w:p>
        </w:tc>
        <w:tc>
          <w:tcPr/>
          <w:p>
            <w:pPr>
              <w:pStyle w:val="Compact"/>
              <w:jc w:val="left"/>
            </w:pPr>
            <w:r>
              <w:t xml:space="preserve">Electronic Component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w:t>
            </w:r>
          </w:p>
        </w:tc>
      </w:tr>
    </w:tbl>
    <w:p>
      <w:pPr>
        <w:pStyle w:val="BodyText"/>
      </w:pPr>
      <w:r>
        <w:t xml:space="preserve">The total material-related emissions are calculated by summing the \'Total Carbon\' column from the Detailed BOM.</w:t>
      </w:r>
      <w:r>
        <w:t xml:space="preserve"> </w:t>
      </w:r>
      <w:r>
        <w:t xml:space="preserve">For the illustrative BOM above, the total material emissions would be 12.5 + 6.0 + 0.5 + 0.6 = 19.6 kgCO2e.</w:t>
      </w:r>
    </w:p>
    <w:bookmarkEnd w:id="24"/>
    <w:bookmarkStart w:id="25" w:name="manufacturingproduction-scope-1-2"/>
    <w:p>
      <w:pPr>
        <w:pStyle w:val="Heading3"/>
      </w:pPr>
      <w:r>
        <w:t xml:space="preserve">Manufacturing/Production (Scope 1 &amp; 2)</w:t>
      </w:r>
    </w:p>
    <w:p>
      <w:pPr>
        <w:pStyle w:val="FirstParagraph"/>
      </w:pPr>
      <w:r>
        <w:t xml:space="preserve">This phase covers the energy consumed during the manufacturing of pxusnwvfou in China.</w:t>
      </w:r>
    </w:p>
    <w:p>
      <w:pPr>
        <w:numPr>
          <w:ilvl w:val="0"/>
          <w:numId w:val="1003"/>
        </w:numPr>
        <w:pStyle w:val="Compact"/>
      </w:pPr>
      <w:r>
        <w:rPr>
          <w:bCs/>
          <w:b/>
        </w:rPr>
        <w:t xml:space="preserve">Energy Intensity:</w:t>
      </w:r>
      <w:r>
        <w:t xml:space="preserve"> </w:t>
      </w:r>
      <w:r>
        <w:t xml:space="preserve">The energy consumption per unit is sfdsrdmfsk kWh/unit (e.g., 10 kWh/unit).</w:t>
      </w:r>
    </w:p>
    <w:p>
      <w:pPr>
        <w:numPr>
          <w:ilvl w:val="0"/>
          <w:numId w:val="1003"/>
        </w:numPr>
        <w:pStyle w:val="Compact"/>
      </w:pPr>
      <w:r>
        <w:rPr>
          <w:bCs/>
          <w:b/>
        </w:rPr>
        <w:t xml:space="preserve">Renewable Energy Usage:</w:t>
      </w:r>
      <w:r>
        <w:t xml:space="preserve"> </w:t>
      </w:r>
      <w:r>
        <w:t xml:space="preserve">The facility utilizes hxkeowjfoz (e.g., 50%) of renewable energy. This significantly impacts Scope 2 emissions.</w:t>
      </w:r>
    </w:p>
    <w:p>
      <w:pPr>
        <w:pStyle w:val="FirstParagraph"/>
      </w:pPr>
      <w:r>
        <w:t xml:space="preserve">The calculation considers the proportion of non-renewable energy sourced from the grid in China. The National Average Electricity Carbon Footprint Factor for China in 2023 was 0.6205 kg CO2e/kWh. The manufacturing site\'s direct emissions (Scope 1) from on-site fuel combustion are also included, though specific data for this was not provided and would typically require direct measurement.</w:t>
      </w:r>
    </w:p>
    <w:bookmarkEnd w:id="25"/>
    <w:bookmarkStart w:id="26" w:name="Xea405fd7fd0435ca5483dd0b855a2897c7a41e8"/>
    <w:p>
      <w:pPr>
        <w:pStyle w:val="Heading3"/>
      </w:pPr>
      <w:r>
        <w:t xml:space="preserve">Transport and Logistics (Scope 3 - Upstream &amp; Downstream)</w:t>
      </w:r>
    </w:p>
    <w:p>
      <w:pPr>
        <w:pStyle w:val="FirstParagraph"/>
      </w:pPr>
      <w:r>
        <w:t xml:space="preserve">Transportation emissions are accounted for both upstream (raw material delivery to factory) and downstream</w:t>
      </w:r>
      <w:r>
        <w:t xml:space="preserve"> </w:t>
      </w:r>
      <w:r>
        <w:t xml:space="preserve">(finished product delivery to customers).</w:t>
      </w:r>
    </w:p>
    <w:p>
      <w:pPr>
        <w:numPr>
          <w:ilvl w:val="0"/>
          <w:numId w:val="1004"/>
        </w:numPr>
        <w:pStyle w:val="Compact"/>
      </w:pPr>
      <w:r>
        <w:rPr>
          <w:bCs/>
          <w:b/>
        </w:rPr>
        <w:t xml:space="preserve">Primary Transport Mode:</w:t>
      </w:r>
      <w:r>
        <w:t xml:space="preserve"> </w:t>
      </w:r>
      <w:r>
        <w:t xml:space="preserve">Select Mode (e.g., Ocean Freight)</w:t>
      </w:r>
    </w:p>
    <w:p>
      <w:pPr>
        <w:numPr>
          <w:ilvl w:val="0"/>
          <w:numId w:val="1004"/>
        </w:numPr>
        <w:pStyle w:val="Compact"/>
      </w:pPr>
      <w:r>
        <w:rPr>
          <w:bCs/>
          <w:b/>
        </w:rPr>
        <w:t xml:space="preserve">Transport Distance:</w:t>
      </w:r>
      <w:r>
        <w:t xml:space="preserve"> </w:t>
      </w:r>
      <w:r>
        <w:t xml:space="preserve">nzkhgikhvy (e.g., 8000 km)</w:t>
      </w:r>
    </w:p>
    <w:p>
      <w:pPr>
        <w:numPr>
          <w:ilvl w:val="0"/>
          <w:numId w:val="1004"/>
        </w:numPr>
        <w:pStyle w:val="Compact"/>
      </w:pPr>
      <w:r>
        <w:rPr>
          <w:bCs/>
          <w:b/>
        </w:rPr>
        <w:t xml:space="preserve">Last-Mile Delivery Channel:</w:t>
      </w:r>
      <w:r>
        <w:t xml:space="preserve"> </w:t>
      </w:r>
      <w:r>
        <w:t xml:space="preserve">Delivery Type (e.g., Van Delivery)</w:t>
      </w:r>
    </w:p>
    <w:p>
      <w:pPr>
        <w:pStyle w:val="FirstParagraph"/>
      </w:pPr>
      <w:r>
        <w:t xml:space="preserve">Given the \'Europe Focused\' supply chain, transport from China to Europe, and within Europe, is considered.</w:t>
      </w:r>
      <w:r>
        <w:t xml:space="preserve"> </w:t>
      </w:r>
      <w:r>
        <w:t xml:space="preserve">Emission factors for the specified transport modes are sourced from industry databases. For road freight, an average emission factor is around 0.062 kgCO2e per tonne-kilometer (tkm). For ocean freight, container ships average around 0.016 kgCO2e/tkm. Last-mile delivery by an average van can be approximately 0.25 kgCO2e/km.</w:t>
      </w:r>
    </w:p>
    <w:bookmarkEnd w:id="26"/>
    <w:bookmarkStart w:id="27" w:name="product-use-phase-scope-3---downstream"/>
    <w:p>
      <w:pPr>
        <w:pStyle w:val="Heading3"/>
      </w:pPr>
      <w:r>
        <w:t xml:space="preserve">Product Use Phase (Scope 3 - Downstream)</w:t>
      </w:r>
    </w:p>
    <w:p>
      <w:pPr>
        <w:pStyle w:val="FirstParagraph"/>
      </w:pPr>
      <w:r>
        <w:t xml:space="preserve">The use phase emissions are critical for products consuming energy during their lifespan.</w:t>
      </w:r>
    </w:p>
    <w:p>
      <w:pPr>
        <w:numPr>
          <w:ilvl w:val="0"/>
          <w:numId w:val="1005"/>
        </w:numPr>
        <w:pStyle w:val="Compact"/>
      </w:pPr>
      <w:r>
        <w:rPr>
          <w:bCs/>
          <w:b/>
        </w:rPr>
        <w:t xml:space="preserve">Product Lifespan:</w:t>
      </w:r>
      <w:r>
        <w:t xml:space="preserve"> </w:t>
      </w:r>
      <w:r>
        <w:t xml:space="preserve">lmxgpzdfxh (e.g., 5 years)</w:t>
      </w:r>
    </w:p>
    <w:p>
      <w:pPr>
        <w:numPr>
          <w:ilvl w:val="0"/>
          <w:numId w:val="1005"/>
        </w:numPr>
        <w:pStyle w:val="Compact"/>
      </w:pPr>
      <w:r>
        <w:rPr>
          <w:bCs/>
          <w:b/>
        </w:rPr>
        <w:t xml:space="preserve">Energy Consumption in Use:</w:t>
      </w:r>
      <w:r>
        <w:t xml:space="preserve"> </w:t>
      </w:r>
      <w:r>
        <w:t xml:space="preserve">wztpdydruj (e.g., 20 kWh per year)</w:t>
      </w:r>
    </w:p>
    <w:p>
      <w:pPr>
        <w:pStyle w:val="FirstParagraph"/>
      </w:pPr>
      <w:r>
        <w:t xml:space="preserve">Emissions are calculated by multiplying the annual energy consumption by the product\'s lifespan and the relevant</w:t>
      </w:r>
      <w:r>
        <w:t xml:space="preserve"> </w:t>
      </w:r>
      <w:r>
        <w:t xml:space="preserve">electricity grid emission factor for the typical user\'s geographic region (assumed to be Europe). The EU-27\'s electricity grid emission factor in 2020 was approximately 0.274 kgCO2-eq/kWh. For illustrative purposes, we use a factor of 0.250 kgCO2e/kWh for Europe.</w:t>
      </w:r>
    </w:p>
    <w:bookmarkEnd w:id="27"/>
    <w:bookmarkStart w:id="28" w:name="X92fbc61eed99b9d9aafbebcbbd2c7ad7660f7e4"/>
    <w:p>
      <w:pPr>
        <w:pStyle w:val="Heading3"/>
      </w:pPr>
      <w:r>
        <w:t xml:space="preserve">End-of-Life (EoL) Phase (Scope 3 - Downstream)</w:t>
      </w:r>
    </w:p>
    <w:p>
      <w:pPr>
        <w:pStyle w:val="FirstParagraph"/>
      </w:pPr>
      <w:r>
        <w:t xml:space="preserve">The EoL phase accounts for emissions and potential carbon savings from recycling, incineration, or landfilling.</w:t>
      </w:r>
    </w:p>
    <w:p>
      <w:pPr>
        <w:numPr>
          <w:ilvl w:val="0"/>
          <w:numId w:val="1006"/>
        </w:numPr>
        <w:pStyle w:val="Compact"/>
      </w:pPr>
      <w:r>
        <w:rPr>
          <w:bCs/>
          <w:b/>
        </w:rPr>
        <w:t xml:space="preserve">Recyclability Percentage:</w:t>
      </w:r>
      <w:r>
        <w:t xml:space="preserve"> </w:t>
      </w:r>
      <w:r>
        <w:t xml:space="preserve">pldlswzkwz (e.g., 70%)</w:t>
      </w:r>
    </w:p>
    <w:p>
      <w:pPr>
        <w:numPr>
          <w:ilvl w:val="0"/>
          <w:numId w:val="1006"/>
        </w:numPr>
        <w:pStyle w:val="Compact"/>
      </w:pPr>
      <w:r>
        <w:rPr>
          <w:bCs/>
          <w:b/>
        </w:rPr>
        <w:t xml:space="preserve">Circular/Take-back Programs:</w:t>
      </w:r>
      <w:r>
        <w:t xml:space="preserve"> </w:t>
      </w:r>
      <w:r>
        <w:t xml:space="preserve">duhfquluto (e.g., existent)</w:t>
      </w:r>
    </w:p>
    <w:p>
      <w:pPr>
        <w:pStyle w:val="FirstParagraph"/>
      </w:pPr>
      <w:r>
        <w:t xml:space="preserve">A high recyclability percentage and the presence of circular programs significantly reduce the net EoL impact.</w:t>
      </w:r>
      <w:r>
        <w:t xml:space="preserve"> </w:t>
      </w:r>
      <w:r>
        <w:t xml:space="preserve">For plastic waste, landfilling can result in around 0.033 kgCO2e per kg, while recycling processes might incur emissions of about 0.202 kgCO2e per kg. However, producing recycled material can significantly reduce the energy and emissions compared to producing primary materials (e.g., 80-95% reduction for aluminum). Emissions from landfilling are accounted for, while credits for recycled materials (avoided primary production)</w:t>
      </w:r>
      <w:r>
        <w:t xml:space="preserve"> </w:t>
      </w:r>
      <w:r>
        <w:t xml:space="preserve">or energy recovery from incineration are applied based on established methodologies. The presence of \'duhfquluto\'</w:t>
      </w:r>
      <w:r>
        <w:t xml:space="preserve"> </w:t>
      </w:r>
      <w:r>
        <w:t xml:space="preserve">programs suggests a more proactive approach to EoL management, potentially leading to higher recycling rates and</w:t>
      </w:r>
      <w:r>
        <w:t xml:space="preserve"> </w:t>
      </w:r>
      <w:r>
        <w:t xml:space="preserve">lower overall EoL emissions.</w:t>
      </w:r>
    </w:p>
    <w:p>
      <w:r>
        <w:pict>
          <v:rect style="width:0;height:1.5pt" o:hralign="center" o:hrstd="t" o:hr="t"/>
        </w:pict>
      </w:r>
    </w:p>
    <w:bookmarkEnd w:id="28"/>
    <w:bookmarkEnd w:id="29"/>
    <w:bookmarkStart w:id="34" w:name="calculating-emissions-co2e"/>
    <w:p>
      <w:pPr>
        <w:pStyle w:val="Heading2"/>
      </w:pPr>
      <w:r>
        <w:t xml:space="preserve">4. Calculating Emissions (CO2e)</w:t>
      </w:r>
    </w:p>
    <w:p>
      <w:pPr>
        <w:pStyle w:val="FirstParagraph"/>
      </w:pPr>
      <w:r>
        <w:t xml:space="preserve">Emissions are calculated for each life cycle stage using the formula: Activity Data × Emission Factor = CO2e.</w:t>
      </w:r>
      <w:r>
        <w:t xml:space="preserve"> </w:t>
      </w:r>
      <w:r>
        <w:t xml:space="preserve">All calculations are expressed in kilograms of carbon dioxide equivalent (kgCO2e).</w:t>
      </w:r>
      <w:r>
        <w:t xml:space="preserve"> </w:t>
      </w:r>
      <w:r>
        <w:t xml:space="preserve">The following sections detail the calculation methodology for each scope.</w:t>
      </w:r>
    </w:p>
    <w:bookmarkStart w:id="30" w:name="ghg-protocol-scope-categorization"/>
    <w:p>
      <w:pPr>
        <w:pStyle w:val="Heading3"/>
      </w:pPr>
      <w:r>
        <w:t xml:space="preserve">GHG Protocol Scope Categorization</w:t>
      </w:r>
    </w:p>
    <w:p>
      <w:pPr>
        <w:numPr>
          <w:ilvl w:val="0"/>
          <w:numId w:val="1007"/>
        </w:numPr>
      </w:pPr>
      <w:r>
        <w:rPr>
          <w:bCs/>
          <w:b/>
        </w:rPr>
        <w:t xml:space="preserve">Scope 1: Direct Emissions</w:t>
      </w:r>
    </w:p>
    <w:p>
      <w:pPr>
        <w:numPr>
          <w:ilvl w:val="0"/>
          <w:numId w:val="1000"/>
        </w:numPr>
      </w:pPr>
      <w:r>
        <w:t xml:space="preserve">Emissions from sources owned or controlled by phrevfvpzp, such as direct fuel combustion in manufacturing facilities or fleet vehicles. Specific data for this was not provided in the parameters, but it would involve converting fuel consumption (e.g., liters of diesel, m³ of natural gas) to CO2e using appropriate emission factors. For the illustrative PCF, Scope 1 emissions are considered negligible or already embedded within other provided data.</w:t>
      </w:r>
    </w:p>
    <w:p>
      <w:pPr>
        <w:numPr>
          <w:ilvl w:val="0"/>
          <w:numId w:val="1007"/>
        </w:numPr>
      </w:pPr>
      <w:r>
        <w:rPr>
          <w:bCs/>
          <w:b/>
        </w:rPr>
        <w:t xml:space="preserve">Scope 2: Indirect Emissions from Purchased Energy</w:t>
      </w:r>
    </w:p>
    <w:p>
      <w:pPr>
        <w:numPr>
          <w:ilvl w:val="0"/>
          <w:numId w:val="1000"/>
        </w:numPr>
      </w:pPr>
      <w:r>
        <w:t xml:space="preserve">Emissions from the generation of purchased electricity, heat, or steam consumed by phrevfvpzp. This is primarily driven by the energy intensity (sfdsrdmfsk) and the renewable energy usage (hxkeowjfoz) at the production facility in China. The calculation uses the China electricity grid emission factor.</w:t>
      </w:r>
    </w:p>
    <w:p>
      <w:pPr>
        <w:numPr>
          <w:ilvl w:val="0"/>
          <w:numId w:val="1000"/>
        </w:numPr>
      </w:pPr>
      <w:r>
        <w:t xml:space="preserve">`Scope 2 Emissions = Energy Intensity (sfdsrdmfsk kWh/unit) × (1 - Renewable Energy Usage (hxkeowjfoz)) × China Grid Emission Factor (kgCO2e/kWh)`</w:t>
      </w:r>
    </w:p>
    <w:p>
      <w:pPr>
        <w:numPr>
          <w:ilvl w:val="0"/>
          <w:numId w:val="1000"/>
        </w:numPr>
      </w:pPr>
      <w:r>
        <w:t xml:space="preserve">Illustrative Calculation: Assuming `sfdsrdmfsk = 10 kWh/unit`, `hxkeowjfoz = 50% (0.5)`, and the China Grid Emission Factor of `0.6205 kgCO2e/kWh`.</w:t>
      </w:r>
      <w:r>
        <w:t xml:space="preserve"> </w:t>
      </w:r>
      <w:r>
        <w:t xml:space="preserve">`Scope 2 Emissions = 10 kWh/unit × (1 - 0.5) × 0.6205 kgCO2e/kWh = 3.10 kgCO2e/unit`.</w:t>
      </w:r>
    </w:p>
    <w:p>
      <w:pPr>
        <w:numPr>
          <w:ilvl w:val="0"/>
          <w:numId w:val="1007"/>
        </w:numPr>
      </w:pPr>
      <w:r>
        <w:rPr>
          <w:bCs/>
          <w:b/>
        </w:rPr>
        <w:t xml:space="preserve">Scope 3: Other Indirect Emissions (Value Chain)</w:t>
      </w:r>
    </w:p>
    <w:p>
      <w:pPr>
        <w:numPr>
          <w:ilvl w:val="0"/>
          <w:numId w:val="1000"/>
        </w:numPr>
      </w:pPr>
      <w:r>
        <w:t xml:space="preserve">All other indirect emissions that occur in the value chain of phrevfvpzp, both upstream and downstream. This scope often represents 70-90% of a company\'s total carbon footprint and requires at least 95% coverage for 2026 reporting requirements.</w:t>
      </w:r>
    </w:p>
    <w:p>
      <w:pPr>
        <w:numPr>
          <w:ilvl w:val="1"/>
          <w:numId w:val="1008"/>
        </w:numPr>
      </w:pPr>
      <w:r>
        <w:rPr>
          <w:bCs/>
          <w:b/>
        </w:rPr>
        <w:t xml:space="preserve">Category 1: Purchased Goods and Services (Materials)</w:t>
      </w:r>
    </w:p>
    <w:p>
      <w:pPr>
        <w:numPr>
          <w:ilvl w:val="1"/>
          <w:numId w:val="1000"/>
        </w:numPr>
      </w:pPr>
      <w:r>
        <w:t xml:space="preserve">Calculated directly from the \'Total Carbon\' provided in the Detailed BOM (tpgyogrp).</w:t>
      </w:r>
    </w:p>
    <w:p>
      <w:pPr>
        <w:numPr>
          <w:ilvl w:val="1"/>
          <w:numId w:val="1000"/>
        </w:numPr>
      </w:pPr>
      <w:r>
        <w:t xml:space="preserve">`Material Emissions = Sum of \'Total Carbon\' from BOM`</w:t>
      </w:r>
      <w:r>
        <w:t xml:space="preserve"> </w:t>
      </w:r>
      <w:r>
        <w:t xml:space="preserve">(For the illustrative BOM: 19.6 kgCO2e/unit)</w:t>
      </w:r>
    </w:p>
    <w:p>
      <w:pPr>
        <w:numPr>
          <w:ilvl w:val="1"/>
          <w:numId w:val="1008"/>
        </w:numPr>
      </w:pPr>
      <w:r>
        <w:rPr>
          <w:bCs/>
          <w:b/>
        </w:rPr>
        <w:t xml:space="preserve">Category 4: Upstream Transportation and Distribution</w:t>
      </w:r>
    </w:p>
    <w:p>
      <w:pPr>
        <w:numPr>
          <w:ilvl w:val="1"/>
          <w:numId w:val="1000"/>
        </w:numPr>
      </w:pPr>
      <w:r>
        <w:t xml:space="preserve">Emissions from raw material transport to the factory. For illustration, assume an average product mass of 8 kg and 1000 km of truck transport for raw materials (hypothetical).</w:t>
      </w:r>
    </w:p>
    <w:p>
      <w:pPr>
        <w:numPr>
          <w:ilvl w:val="1"/>
          <w:numId w:val="1000"/>
        </w:numPr>
      </w:pPr>
      <w:r>
        <w:t xml:space="preserve">`Upstream Transport Emissions = Product Mass (kg) × Transport Distance (km) × Truck Emission Factor (kgCO2e/kg·km)`</w:t>
      </w:r>
    </w:p>
    <w:p>
      <w:pPr>
        <w:numPr>
          <w:ilvl w:val="1"/>
          <w:numId w:val="1000"/>
        </w:numPr>
      </w:pPr>
      <w:r>
        <w:t xml:space="preserve">Illustrative Calculation: Assuming `Product Mass = 8 kg`, `Transport Distance = 1000 km`, and a Truck Emission Factor of `0.000062 kgCO2e/kg·km` (derived from 62 gCO2e/tkm).</w:t>
      </w:r>
      <w:r>
        <w:t xml:space="preserve"> </w:t>
      </w:r>
      <w:r>
        <w:t xml:space="preserve">`Upstream Transport = 8 kg × 1000 km × 0.000062 kgCO2e/kg·km = 0.50 kgCO2e/unit`.</w:t>
      </w:r>
    </w:p>
    <w:p>
      <w:pPr>
        <w:numPr>
          <w:ilvl w:val="1"/>
          <w:numId w:val="1008"/>
        </w:numPr>
      </w:pPr>
      <w:r>
        <w:rPr>
          <w:bCs/>
          <w:b/>
        </w:rPr>
        <w:t xml:space="preserve">Category 9: Downstream Transportation and Distribution</w:t>
      </w:r>
    </w:p>
    <w:p>
      <w:pPr>
        <w:numPr>
          <w:ilvl w:val="1"/>
          <w:numId w:val="1000"/>
        </w:numPr>
      </w:pPr>
      <w:r>
        <w:t xml:space="preserve">Emissions from transporting the finished product to customers, including \'Last-Mile Delivery Channel: Delivery Type\'. This considers multiple transport legs.</w:t>
      </w:r>
    </w:p>
    <w:p>
      <w:pPr>
        <w:numPr>
          <w:ilvl w:val="1"/>
          <w:numId w:val="1000"/>
        </w:numPr>
      </w:pPr>
      <w:r>
        <w:t xml:space="preserve">`Downstream Transport Emissions = (Product Mass × Ocean Freight Dist. × Ocean EF) + (Product Mass × Truck Dist. × Truck EF) + (Last Mile Dist. × Last Mile Van EF)`</w:t>
      </w:r>
    </w:p>
    <w:p>
      <w:pPr>
        <w:numPr>
          <w:ilvl w:val="1"/>
          <w:numId w:val="1000"/>
        </w:numPr>
      </w:pPr>
      <w:r>
        <w:t xml:space="preserve">Illustrative Calculation: Assuming product mass 8 kg, `Select Mode` as ocean freight for `8000 km` (China to Europe), truck distribution for `500 km` within Europe, and `Delivery Type` as van delivery for `50 km` (last-mile).</w:t>
      </w:r>
      <w:r>
        <w:t xml:space="preserve"> </w:t>
      </w:r>
      <w:r>
        <w:t xml:space="preserve">Ocean freight factor `0.000016 kgCO2e/kg·km` (derived from 16 gCO2e/tkm).</w:t>
      </w:r>
      <w:r>
        <w:t xml:space="preserve"> </w:t>
      </w:r>
      <w:r>
        <w:t xml:space="preserve">Truck factor `0.000062 kgCO2e/kg·km`.</w:t>
      </w:r>
      <w:r>
        <w:t xml:space="preserve"> </w:t>
      </w:r>
      <w:r>
        <w:t xml:space="preserve">Last-mile van factor `0.25 kgCO2e/km`.</w:t>
      </w:r>
      <w:r>
        <w:t xml:space="preserve"> </w:t>
      </w:r>
      <w:r>
        <w:t xml:space="preserve">`Ocean Freight = 8 kg × 8000 km × 0.000016 kgCO2e/kg·km = 1.02 kgCO2e/unit`</w:t>
      </w:r>
      <w:r>
        <w:t xml:space="preserve"> </w:t>
      </w:r>
      <w:r>
        <w:t xml:space="preserve">`Truck Distribution = 8 kg × 500 km × 0.000062 kgCO2e/kg·km = 0.25 kgCO2e/unit`</w:t>
      </w:r>
      <w:r>
        <w:t xml:space="preserve"> </w:t>
      </w:r>
      <w:r>
        <w:t xml:space="preserve">`Last-Mile Delivery = 50 km × 0.25 kgCO2e/km = 12.50 kgCO2e/unit`</w:t>
      </w:r>
      <w:r>
        <w:t xml:space="preserve"> </w:t>
      </w:r>
      <w:r>
        <w:t xml:space="preserve">`Total Downstream Transport = 1.02 + 0.25 + 12.50 = 13.77 kgCO2e/unit`.</w:t>
      </w:r>
    </w:p>
    <w:p>
      <w:pPr>
        <w:numPr>
          <w:ilvl w:val="1"/>
          <w:numId w:val="1008"/>
        </w:numPr>
      </w:pPr>
      <w:r>
        <w:rPr>
          <w:bCs/>
          <w:b/>
        </w:rPr>
        <w:t xml:space="preserve">Category 11: Use of Sold Products</w:t>
      </w:r>
    </w:p>
    <w:p>
      <w:pPr>
        <w:numPr>
          <w:ilvl w:val="1"/>
          <w:numId w:val="1000"/>
        </w:numPr>
      </w:pPr>
      <w:r>
        <w:t xml:space="preserve">Emissions from the product\'s lifespan (lmxgpzdfxh) and energy consumption (wztpdydruj). Assumed to occur in Europe.</w:t>
      </w:r>
    </w:p>
    <w:p>
      <w:pPr>
        <w:numPr>
          <w:ilvl w:val="1"/>
          <w:numId w:val="1000"/>
        </w:numPr>
      </w:pPr>
      <w:r>
        <w:t xml:space="preserve">`Use Phase Emissions = Energy Consumption in Use (wztpdydruj) × Product Lifespan (lmxgpzdfxh) × Europe Grid Emission Factor (kgCO2e/kWh)`</w:t>
      </w:r>
    </w:p>
    <w:p>
      <w:pPr>
        <w:numPr>
          <w:ilvl w:val="1"/>
          <w:numId w:val="1000"/>
        </w:numPr>
      </w:pPr>
      <w:r>
        <w:t xml:space="preserve">Illustrative Calculation: Assuming `wztpdydruj = 20 kWh/year`, `lmxgpzdfxh = 5 years`, and a Europe Grid Emission Factor of `0.250 kgCO2e/kWh`.</w:t>
      </w:r>
      <w:r>
        <w:t xml:space="preserve"> </w:t>
      </w:r>
      <w:r>
        <w:t xml:space="preserve">`Use Phase Emissions = 20 kWh/year × 5 years × 0.250 kgCO2e/kWh = 25.0 kgCO2e/unit`.</w:t>
      </w:r>
    </w:p>
    <w:p>
      <w:pPr>
        <w:numPr>
          <w:ilvl w:val="1"/>
          <w:numId w:val="1008"/>
        </w:numPr>
      </w:pPr>
      <w:r>
        <w:rPr>
          <w:bCs/>
          <w:b/>
        </w:rPr>
        <w:t xml:space="preserve">Category 12: End-of-Life Treatment of Sold Products</w:t>
      </w:r>
    </w:p>
    <w:p>
      <w:pPr>
        <w:numPr>
          <w:ilvl w:val="1"/>
          <w:numId w:val="1000"/>
        </w:numPr>
      </w:pPr>
      <w:r>
        <w:t xml:space="preserve">Impacts based on recyclability (pldlswzkwz) and circular programs (duhfquluto). Considers emissions from waste treatment and potential credits from recycling.</w:t>
      </w:r>
    </w:p>
    <w:p>
      <w:pPr>
        <w:numPr>
          <w:ilvl w:val="1"/>
          <w:numId w:val="1000"/>
        </w:numPr>
      </w:pPr>
      <w:r>
        <w:t xml:space="preserve">`EoL Emissions = (1 - Recyclability %) × Product Mass × Landfill EF + Recyclability % × Product Mass × (Recycling Process EF - Avoided Primary Production Credit)`</w:t>
      </w:r>
    </w:p>
    <w:p>
      <w:pPr>
        <w:numPr>
          <w:ilvl w:val="1"/>
          <w:numId w:val="1000"/>
        </w:numPr>
      </w:pPr>
      <w:r>
        <w:t xml:space="preserve">Illustrative Calculation: Assuming `pldlswzkwz = 70% (0.7)`, `Product Mass = 8 kg`.</w:t>
      </w:r>
      <w:r>
        <w:t xml:space="preserve"> </w:t>
      </w:r>
      <w:r>
        <w:t xml:space="preserve">Landfill factor `0.033 kgCO2e/kg` (for plastic).</w:t>
      </w:r>
      <w:r>
        <w:t xml:space="preserve"> </w:t>
      </w:r>
      <w:r>
        <w:t xml:space="preserve">Recycling process factor `0.202 kgCO2e/kg` (for plastic).</w:t>
      </w:r>
      <w:r>
        <w:t xml:space="preserve"> </w:t>
      </w:r>
      <w:r>
        <w:t xml:space="preserve">Avoided Primary Production Credit (hypothetical for generic material, derived from 80-95% savings for certain materials) = `2.0 kgCO2e/kg`.</w:t>
      </w:r>
      <w:r>
        <w:t xml:space="preserve"> </w:t>
      </w:r>
      <w:r>
        <w:t xml:space="preserve">`EoL from Landfill = (1 - 0.7) × 8 kg × 0.033 kgCO2e/kg = 0.08 kgCO2e`</w:t>
      </w:r>
      <w:r>
        <w:t xml:space="preserve"> </w:t>
      </w:r>
      <w:r>
        <w:t xml:space="preserve">`EoL from Recycling (Net) = 0.7 × 8 kg × (0.202 - 2.0) kgCO2e/kg = -10.07 kgCO2e`</w:t>
      </w:r>
      <w:r>
        <w:t xml:space="preserve"> </w:t>
      </w:r>
      <w:r>
        <w:t xml:space="preserve">`Total EoL Emissions = 0.08 - 10.07 = -9.99 kgCO2e/unit` (net saving).</w:t>
      </w:r>
    </w:p>
    <w:bookmarkEnd w:id="30"/>
    <w:bookmarkStart w:id="31" w:name="X504f4a86e01fdcfa46a4589bb1b5e0cfaad8629"/>
    <w:p>
      <w:pPr>
        <w:pStyle w:val="Heading3"/>
      </w:pPr>
      <w:r>
        <w:t xml:space="preserve">2026 Land Sector and Removals (LSR) Standard Update</w:t>
      </w:r>
    </w:p>
    <w:p>
      <w:pPr>
        <w:pStyle w:val="FirstParagraph"/>
      </w:pPr>
      <w:r>
        <w:t xml:space="preserve">The 2026 LSR Standard is integrated to account for land-based GHG emissions and removals. This is particularly relevant for companies that own or control land, purchase or sell products produced on agricultural lands, or have other relevant land-based activities in their value chain. The standard provides methods to quantify and report land emissions (e.g., land-use change, soil degradation) and CO2 removals, building on the Corporate Standard and Scope 3 Standard.</w:t>
      </w:r>
      <w:r>
        <w:t xml:space="preserve"> </w:t>
      </w:r>
      <w:r>
        <w:t xml:space="preserve">While explicit data on land use was not provided in the parameters for pxusnwvfou, the methodology for future assessments would include:</w:t>
      </w:r>
    </w:p>
    <w:p>
      <w:pPr>
        <w:numPr>
          <w:ilvl w:val="0"/>
          <w:numId w:val="1009"/>
        </w:numPr>
        <w:pStyle w:val="Compact"/>
      </w:pPr>
      <w:r>
        <w:t xml:space="preserve">Quantifying emissions from land-use change (e.g., deforestation for raw materials) and land management.</w:t>
      </w:r>
    </w:p>
    <w:p>
      <w:pPr>
        <w:numPr>
          <w:ilvl w:val="0"/>
          <w:numId w:val="1009"/>
        </w:numPr>
        <w:pStyle w:val="Compact"/>
      </w:pPr>
      <w:r>
        <w:t xml:space="preserve">Accounting for carbon removals through sustainable land management or carbon sequestration initiatives within the value chain.</w:t>
      </w:r>
    </w:p>
    <w:p>
      <w:pPr>
        <w:numPr>
          <w:ilvl w:val="0"/>
          <w:numId w:val="1009"/>
        </w:numPr>
        <w:pStyle w:val="Compact"/>
      </w:pPr>
      <w:r>
        <w:t xml:space="preserve">Distinguishing between biogenic and fossil carbon emissions.</w:t>
      </w:r>
    </w:p>
    <w:p>
      <w:pPr>
        <w:numPr>
          <w:ilvl w:val="0"/>
          <w:numId w:val="1009"/>
        </w:numPr>
        <w:pStyle w:val="Compact"/>
      </w:pPr>
      <w:r>
        <w:t xml:space="preserve">The LSR Standard aims to enable companies to account for most land-sector emissions, particularly for agricultural products.</w:t>
      </w:r>
    </w:p>
    <w:bookmarkEnd w:id="31"/>
    <w:bookmarkStart w:id="32" w:name="total-product-carbon-footprint"/>
    <w:p>
      <w:pPr>
        <w:pStyle w:val="Heading3"/>
      </w:pPr>
      <w:r>
        <w:t xml:space="preserve">Total Product Carbon Footprint</w:t>
      </w:r>
    </w:p>
    <w:p>
      <w:pPr>
        <w:pStyle w:val="FirstParagraph"/>
      </w:pPr>
      <w:r>
        <w:t xml:space="preserve">The total PCF is the sum of emissions from all relevant scopes and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Emissions (kgCO2e/unit)</w:t>
            </w:r>
          </w:p>
        </w:tc>
      </w:tr>
      <w:tr>
        <w:tc>
          <w:tcPr/>
          <w:p>
            <w:pPr>
              <w:pStyle w:val="Compact"/>
              <w:jc w:val="left"/>
            </w:pPr>
            <w:r>
              <w:t xml:space="preserve">Materials (from BOM)</w:t>
            </w:r>
          </w:p>
        </w:tc>
        <w:tc>
          <w:tcPr/>
          <w:p>
            <w:pPr>
              <w:pStyle w:val="Compact"/>
              <w:jc w:val="left"/>
            </w:pPr>
            <w:r>
              <w:t xml:space="preserve">Scope 3 (Category 1)</w:t>
            </w:r>
          </w:p>
        </w:tc>
        <w:tc>
          <w:tcPr/>
          <w:p>
            <w:pPr>
              <w:pStyle w:val="Compact"/>
              <w:jc w:val="left"/>
            </w:pPr>
            <w:r>
              <w:t xml:space="preserve">19.60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0.50</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13.77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-9.99</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51.98</w:t>
            </w:r>
          </w:p>
        </w:tc>
      </w:tr>
    </w:tbl>
    <w:p>
      <w:pPr>
        <w:pStyle w:val="BodyText"/>
      </w:pPr>
      <w:r>
        <w:rPr>
          <w:iCs/>
          <w:i/>
        </w:rPr>
        <w:t xml:space="preserve">Note: The "Illustrative Emissions" values are calculated based on the assumptions made in this report for demonstration purposes, as exact numerical parameters were placeholders. All emission factors are based on cited industry averages.</w:t>
      </w:r>
    </w:p>
    <w:bookmarkEnd w:id="32"/>
    <w:bookmarkStart w:id="33" w:name="scope-3-compliance"/>
    <w:p>
      <w:pPr>
        <w:pStyle w:val="Heading3"/>
      </w:pPr>
      <w:r>
        <w:t xml:space="preserve">Scope 3 Compliance</w:t>
      </w:r>
    </w:p>
    <w:p>
      <w:pPr>
        <w:pStyle w:val="FirstParagraph"/>
      </w:pPr>
      <w:r>
        <w:t xml:space="preserve">With the detailed breakdown covering purchased goods and services, transportation, use of sold products, and end-of-life treatment, this analysis demonstrates a comprehensive approach to Scope 3 reporting. The goal is to achieve at least 95% coverage for Scope 3 emissions, which is a key requirement as per the GHG Protocol\'s 2026 mandates. This robust coverage is crucial for a complete understanding of phrevfvpzp\'s value chain impacts.</w:t>
      </w:r>
    </w:p>
    <w:p>
      <w:r>
        <w:pict>
          <v:rect style="width:0;height:1.5pt" o:hralign="center" o:hrstd="t" o:hr="t"/>
        </w:pict>
      </w:r>
    </w:p>
    <w:bookmarkEnd w:id="33"/>
    <w:bookmarkEnd w:id="34"/>
    <w:bookmarkStart w:id="39"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Based on the illustrative calculations, the primary emission hotspots for pxusnwvfou are:</w:t>
      </w:r>
    </w:p>
    <w:p>
      <w:pPr>
        <w:numPr>
          <w:ilvl w:val="0"/>
          <w:numId w:val="1010"/>
        </w:numPr>
        <w:pStyle w:val="Compact"/>
      </w:pPr>
      <w:r>
        <w:rPr>
          <w:bCs/>
          <w:b/>
        </w:rPr>
        <w:t xml:space="preserve">Use Phase (approx. 48%):</w:t>
      </w:r>
      <w:r>
        <w:t xml:space="preserve"> </w:t>
      </w:r>
      <w:r>
        <w:t xml:space="preserve">The energy consumption during the product\'s lifespan (wztpdydruj over lmxgpzdfxh) is the most significant contributor, highlighting the importance of energy-efficient design and responsible user behavior.</w:t>
      </w:r>
    </w:p>
    <w:p>
      <w:pPr>
        <w:numPr>
          <w:ilvl w:val="0"/>
          <w:numId w:val="1010"/>
        </w:numPr>
        <w:pStyle w:val="Compact"/>
      </w:pPr>
      <w:r>
        <w:rPr>
          <w:bCs/>
          <w:b/>
        </w:rPr>
        <w:t xml:space="preserve">Materials (approx. 38%):</w:t>
      </w:r>
      <w:r>
        <w:t xml:space="preserve"> </w:t>
      </w:r>
      <w:r>
        <w:t xml:space="preserve">The raw material acquisition and processing, as detailed in the BOM (tpgyogrp), represent the second largest hotspot. This points to opportunities for material substitution with lower-carbon alternatives or increased recycled content.</w:t>
      </w:r>
    </w:p>
    <w:p>
      <w:pPr>
        <w:numPr>
          <w:ilvl w:val="0"/>
          <w:numId w:val="1010"/>
        </w:numPr>
        <w:pStyle w:val="Compact"/>
      </w:pPr>
      <w:r>
        <w:rPr>
          <w:bCs/>
          <w:b/>
        </w:rPr>
        <w:t xml:space="preserve">Downstream Transport (approx. 26%):</w:t>
      </w:r>
      <w:r>
        <w:t xml:space="preserve"> </w:t>
      </w:r>
      <w:r>
        <w:t xml:space="preserve">Primarily driven by the \'Last-Mile Delivery Channel: Delivery Type\' and the long transport distances (nzkhgikhvy) for global supply chains, this area offers significant potential for optimizing logistics and utilizing lower-emission transport modes.</w:t>
      </w:r>
    </w:p>
    <w:p>
      <w:pPr>
        <w:numPr>
          <w:ilvl w:val="0"/>
          <w:numId w:val="1010"/>
        </w:numPr>
        <w:pStyle w:val="Compact"/>
      </w:pPr>
      <w:r>
        <w:rPr>
          <w:bCs/>
          <w:b/>
        </w:rPr>
        <w:t xml:space="preserve">End-of-Life (Net Saving):</w:t>
      </w:r>
      <w:r>
        <w:t xml:space="preserve"> </w:t>
      </w:r>
      <w:r>
        <w:t xml:space="preserve">Due to the high recyclability percentage (pldlswzkwz) and the assumed effectiveness of circular/take-back programs (duhfquluto), the end-of-life phase shows a net carbon saving, demonstrating the positive impact of circular economy initiatives.</w:t>
      </w:r>
    </w:p>
    <w:bookmarkEnd w:id="35"/>
    <w:bookmarkStart w:id="36" w:name="data-reliability"/>
    <w:p>
      <w:pPr>
        <w:pStyle w:val="Heading3"/>
      </w:pPr>
      <w:r>
        <w:t xml:space="preserve">Data Reliability</w:t>
      </w:r>
    </w:p>
    <w:p>
      <w:pPr>
        <w:pStyle w:val="FirstParagraph"/>
      </w:pPr>
      <w:r>
        <w:t xml:space="preserve">The reliability of this PCF analysis is contingent upon the accuracy and completeness of the provided data.</w:t>
      </w:r>
      <w:r>
        <w:t xml:space="preserve"> </w:t>
      </w:r>
      <w:r>
        <w:t xml:space="preserve">The use of a detailed BOM (tpgyogrp) significantly enhances the accuracy of material-related emissions.</w:t>
      </w:r>
      <w:r>
        <w:t xml:space="preserve"> </w:t>
      </w:r>
      <w:r>
        <w:t xml:space="preserve">However, for certain parameters (e.g., specific transport routes, real-time energy mix for last-mile delivery,</w:t>
      </w:r>
      <w:r>
        <w:t xml:space="preserve"> </w:t>
      </w:r>
      <w:r>
        <w:t xml:space="preserve">detailed EoL processing for all components), illustrative values and industry average emission factors were utilized.</w:t>
      </w:r>
      <w:r>
        <w:t xml:space="preserve"> </w:t>
      </w:r>
      <w:r>
        <w:t xml:space="preserve">To further improve reliability, primary data collection for all Scope 1, 2, and significant Scope 3 categories</w:t>
      </w:r>
      <w:r>
        <w:t xml:space="preserve"> </w:t>
      </w:r>
      <w:r>
        <w:t xml:space="preserve">is recommended, alongside specific life cycle inventory data for all components and processes where possible.</w:t>
      </w:r>
    </w:p>
    <w:bookmarkEnd w:id="36"/>
    <w:bookmarkStart w:id="38" w:name="recommendations"/>
    <w:p>
      <w:pPr>
        <w:pStyle w:val="Heading3"/>
      </w:pPr>
      <w:r>
        <w:t xml:space="preserve">Recommendations</w:t>
      </w:r>
    </w:p>
    <w:p>
      <w:pPr>
        <w:numPr>
          <w:ilvl w:val="0"/>
          <w:numId w:val="1011"/>
        </w:numPr>
        <w:pStyle w:val="Compact"/>
      </w:pPr>
      <w:r>
        <w:rPr>
          <w:bCs/>
          <w:b/>
        </w:rPr>
        <w:t xml:space="preserve">Optimize Use Phase:</w:t>
      </w:r>
      <w:r>
        <w:t xml:space="preserve"> </w:t>
      </w:r>
      <w:r>
        <w:t xml:space="preserve">Invest in R&amp;D for more energy-efficient product designs (targeting `wztpdydruj` reduction) and educate end-users on energy-saving practices, particularly in regions with higher carbon intensity electricity grids.</w:t>
      </w:r>
    </w:p>
    <w:p>
      <w:pPr>
        <w:numPr>
          <w:ilvl w:val="0"/>
          <w:numId w:val="1011"/>
        </w:numPr>
        <w:pStyle w:val="Compact"/>
      </w:pPr>
      <w:r>
        <w:rPr>
          <w:bCs/>
          <w:b/>
        </w:rPr>
        <w:t xml:space="preserve">Sustainable Material Sourcing:</w:t>
      </w:r>
      <w:r>
        <w:t xml:space="preserve"> </w:t>
      </w:r>
      <w:r>
        <w:t xml:space="preserve">Explore opportunities to substitute high-impact materials with lower-carbon alternatives, increase recycled content (beyond the current `pldlswzkwz`), and collaborate closely with suppliers to reduce their upstream emissions, especially for materials identified as hotspots in the BOM.</w:t>
      </w:r>
    </w:p>
    <w:p>
      <w:pPr>
        <w:numPr>
          <w:ilvl w:val="0"/>
          <w:numId w:val="1011"/>
        </w:numPr>
        <w:pStyle w:val="Compact"/>
      </w:pPr>
      <w:r>
        <w:rPr>
          <w:bCs/>
          <w:b/>
        </w:rPr>
        <w:t xml:space="preserve">Logistics Optimization:</w:t>
      </w:r>
      <w:r>
        <w:t xml:space="preserve"> </w:t>
      </w:r>
      <w:r>
        <w:t xml:space="preserve">Investigate more sustainable transport modes for long-haul routes (e.g., maximizing ocean freight, exploring rail for European distribution where feasible), optimize delivery routes, and explore electric vehicles for last-mile delivery (reducing impact of `Delivery Type`).</w:t>
      </w:r>
    </w:p>
    <w:p>
      <w:pPr>
        <w:numPr>
          <w:ilvl w:val="0"/>
          <w:numId w:val="1011"/>
        </w:numPr>
        <w:pStyle w:val="Compact"/>
      </w:pPr>
      <w:r>
        <w:rPr>
          <w:bCs/>
          <w:b/>
        </w:rPr>
        <w:t xml:space="preserve">Enhance Circularity:</w:t>
      </w:r>
      <w:r>
        <w:t xml:space="preserve"> </w:t>
      </w:r>
      <w:r>
        <w:t xml:space="preserve">Leverage existing `duhfquluto` programs to maximize product take-back and recycling rates (aiming for beyond `pldlswzkwz`), potentially exploring repair and refurbishment models to extend product lifespan (`lmxgpzdfxh`).</w:t>
      </w:r>
    </w:p>
    <w:p>
      <w:pPr>
        <w:numPr>
          <w:ilvl w:val="0"/>
          <w:numId w:val="1011"/>
        </w:numPr>
        <w:pStyle w:val="Compact"/>
      </w:pPr>
      <w:r>
        <w:rPr>
          <w:bCs/>
          <w:b/>
        </w:rPr>
        <w:t xml:space="preserve">Further Data Collection:</w:t>
      </w:r>
      <w:r>
        <w:t xml:space="preserve"> </w:t>
      </w:r>
      <w:r>
        <w:t xml:space="preserve">Conduct a comprehensive primary data collection effort for all operational emissions (Scope 1 and 2) and key Scope 3 categories to refine the PCF and identify more granular reduction opportunities. This should include detailed land-use data as per the 2026 LSR Standard where applicable.</w:t>
      </w:r>
    </w:p>
    <w:p>
      <w:r>
        <w:pict>
          <v:rect style="width:0;height:1.5pt" o:hralign="center" o:hrstd="t" o:hr="t"/>
        </w:pict>
      </w:r>
    </w:p>
    <w:p>
      <w:pPr>
        <w:pStyle w:val="FirstParagraph"/>
      </w:pPr>
      <w:r>
        <w:t xml:space="preserve">Confidential - Internal Use Only | Page</w:t>
      </w:r>
      <w:r>
        <w:t xml:space="preserve"> </w:t>
      </w:r>
      <w:bookmarkStart w:id="37" w:name="page-num"/>
      <w:bookmarkEnd w:id="37"/>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pxusnwvfou</dc:title>
  <dc:creator/>
  <dc:description>Detailed Product Carbon Footprint (PCF) analysis report for pxusnwvfou by Senior Sustainability Consultant kodzympzln for phrevfvpzp, adhering to GHG Protocol.</dc:description>
  <dc:language>en</dc:language>
  <cp:keywords/>
  <dcterms:created xsi:type="dcterms:W3CDTF">2026-05-30T16:53:59Z</dcterms:created>
  <dcterms:modified xsi:type="dcterms:W3CDTF">2026-05-30T16:53:59Z</dcterms:modified>
</cp:coreProperties>
</file>

<file path=docProps/custom.xml><?xml version="1.0" encoding="utf-8"?>
<Properties xmlns="http://schemas.openxmlformats.org/officeDocument/2006/custom-properties" xmlns:vt="http://schemas.openxmlformats.org/officeDocument/2006/docPropsVTypes"/>
</file>