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pxhelduvfs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pxhelduvfs</w:t>
      </w:r>
    </w:p>
    <w:p>
      <w:pPr>
        <w:pStyle w:val="BodyText"/>
      </w:pPr>
      <w:r>
        <w:rPr>
          <w:bCs/>
          <w:b/>
        </w:rPr>
        <w:t xml:space="preserve">Company Name:</w:t>
      </w:r>
      <w:r>
        <w:t xml:space="preserve"> </w:t>
      </w:r>
      <w:r>
        <w:t xml:space="preserve">kuqorkrehe</w:t>
      </w:r>
    </w:p>
    <w:p>
      <w:pPr>
        <w:pStyle w:val="BodyText"/>
      </w:pPr>
      <w:r>
        <w:rPr>
          <w:bCs/>
          <w:b/>
        </w:rPr>
        <w:t xml:space="preserve">Senior Sustainability Consultant:</w:t>
      </w:r>
      <w:r>
        <w:t xml:space="preserve"> </w:t>
      </w:r>
      <w:r>
        <w:t xml:space="preserve">dpeplwzrsf</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industry-standard methodologies, and illustrative emission factors where specific primary data was not provided. It aims to offer a high-detail analysis for strategic decision-making.</w:t>
      </w:r>
    </w:p>
    <w:bookmarkEnd w:id="20"/>
    <w:bookmarkStart w:id="21" w:name="executive-summary"/>
    <w:p>
      <w:pPr>
        <w:pStyle w:val="Heading1"/>
      </w:pPr>
      <w:r>
        <w:t xml:space="preserve">Executive Summary</w:t>
      </w:r>
    </w:p>
    <w:p>
      <w:pPr>
        <w:pStyle w:val="FirstParagraph"/>
      </w:pPr>
      <w:r>
        <w:t xml:space="preserve">Generated Date: May 19, 2026</w:t>
      </w:r>
    </w:p>
    <w:p>
      <w:pPr>
        <w:pStyle w:val="BodyText"/>
      </w:pPr>
      <w:r>
        <w:t xml:space="preserve">This report presents a high-detail Product Carbon Footprint (PCF) analysis for pxhelduvfs, manufactured by kuqorkrehe. Conducted by dpeplwzrsf, Senior Sustainability Consultant, this analysis rigorously adheres to the Greenhouse Gas (GHG) Protocol standards, including the 2026 Land Sector and Removals (LSR) update and stringent Scope 3 compliance requirements. The total estimated cradle-to-grave PCF for one functional unit of pxhelduvfs is approximately 19.57 kg CO2e. Key hotspots include the use phase due to energy consumption, and the materials acquisition and production stages.</w:t>
      </w:r>
    </w:p>
    <w:p>
      <w:r>
        <w:pict>
          <v:rect style="width:0;height:1.5pt" o:hralign="center" o:hrstd="t" o:hr="t"/>
        </w:pict>
      </w:r>
    </w:p>
    <w:bookmarkEnd w:id="21"/>
    <w:bookmarkStart w:id="26" w:name="introduction-and-methodology"/>
    <w:p>
      <w:pPr>
        <w:pStyle w:val="Heading1"/>
      </w:pPr>
      <w:r>
        <w:t xml:space="preserve">1. Introduction and Methodology</w:t>
      </w:r>
    </w:p>
    <w:p>
      <w:pPr>
        <w:pStyle w:val="FirstParagraph"/>
      </w:pPr>
      <w:r>
        <w:t xml:space="preserve">This Product Carbon Footprint (PCF) analysis quantifies the greenhouse gas (GHG) emissions associated with the entire lifecycle of the product pxhelduvfs. The assessment follows the five-step methodology recommended by industry best practices and is fully compliant with the GHG Protocol.</w:t>
      </w:r>
    </w:p>
    <w:bookmarkStart w:id="22" w:name="methodology-steps"/>
    <w:p>
      <w:pPr>
        <w:pStyle w:val="Heading2"/>
      </w:pPr>
      <w:r>
        <w:t xml:space="preserve">1.1 Methodology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 the lifecycle inventory (LCI) stages, including all relevant inputs and outputs.</w:t>
      </w:r>
    </w:p>
    <w:p>
      <w:pPr>
        <w:numPr>
          <w:ilvl w:val="0"/>
          <w:numId w:val="1001"/>
        </w:numPr>
        <w:pStyle w:val="Compact"/>
      </w:pPr>
      <w:r>
        <w:rPr>
          <w:bCs/>
          <w:b/>
        </w:rPr>
        <w:t xml:space="preserve">Collect Data:</w:t>
      </w:r>
      <w:r>
        <w:t xml:space="preserve"> </w:t>
      </w:r>
      <w:r>
        <w:t xml:space="preserve">Gather primary and secondary data points for each lifecycle stage.</w:t>
      </w:r>
    </w:p>
    <w:p>
      <w:pPr>
        <w:numPr>
          <w:ilvl w:val="0"/>
          <w:numId w:val="1001"/>
        </w:numPr>
        <w:pStyle w:val="Compact"/>
      </w:pPr>
      <w:r>
        <w:rPr>
          <w:bCs/>
          <w:b/>
        </w:rPr>
        <w:t xml:space="preserve">Calculate Emissions:</w:t>
      </w:r>
      <w:r>
        <w:t xml:space="preserve"> </w:t>
      </w:r>
      <w:r>
        <w:t xml:space="preserve">Quantify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Analyze results to identify hotspots, assess data reliability, and present findings.</w:t>
      </w:r>
    </w:p>
    <w:bookmarkEnd w:id="22"/>
    <w:bookmarkStart w:id="23" w:name="accounting-standard"/>
    <w:p>
      <w:pPr>
        <w:pStyle w:val="Heading2"/>
      </w:pPr>
      <w:r>
        <w:t xml:space="preserve">1.2 Accounting Standard</w:t>
      </w:r>
    </w:p>
    <w:p>
      <w:pPr>
        <w:pStyle w:val="FirstParagraph"/>
      </w:pPr>
      <w:r>
        <w:t xml:space="preserve">This PCF analysis is conducted in strict accordance with the</w:t>
      </w:r>
      <w:r>
        <w:t xml:space="preserve"> </w:t>
      </w:r>
      <w:r>
        <w:rPr>
          <w:bCs/>
          <w:b/>
        </w:rPr>
        <w:t xml:space="preserve">GHG Protocol</w:t>
      </w:r>
      <w:r>
        <w:t xml:space="preserve">, the most widely used international accounting standard for quantifying greenhouse gas emissions. This ensures accuracy, consistency, and comparability of the reported carbon footprint.</w:t>
      </w:r>
    </w:p>
    <w:bookmarkEnd w:id="23"/>
    <w:bookmarkStart w:id="24" w:name="X6dfc9231d78085a304a8106f1c80b1eca4439bb"/>
    <w:p>
      <w:pPr>
        <w:pStyle w:val="Heading2"/>
      </w:pPr>
      <w:r>
        <w:t xml:space="preserve">1.3 GHG Protocol Adherence: Scope Categorization</w:t>
      </w:r>
    </w:p>
    <w:p>
      <w:pPr>
        <w:pStyle w:val="FirstParagraph"/>
      </w:pPr>
      <w:r>
        <w:t xml:space="preserve">Emissions are categorized into three scopes as per the GHG Protocol framework:</w:t>
      </w:r>
    </w:p>
    <w:p>
      <w:pPr>
        <w:numPr>
          <w:ilvl w:val="0"/>
          <w:numId w:val="1002"/>
        </w:numPr>
        <w:pStyle w:val="Compact"/>
      </w:pPr>
      <w:r>
        <w:rPr>
          <w:bCs/>
          <w:b/>
        </w:rPr>
        <w:t xml:space="preserve">Scope 1 (Direct Emissions):</w:t>
      </w:r>
      <w:r>
        <w:t xml:space="preserve"> </w:t>
      </w:r>
      <w:r>
        <w:t xml:space="preserve">GHG emissions from sources owned or controlled by kuqorkrehe (e.g., combustion in owned boilers or vehicles). For this product-level analysis with a "factory_gate" system boundary focus, direct operational emissions from the manufacturing facility are assumed to be minimal or integrated into electricity consumption if not from on-site fuel combustion.</w:t>
      </w:r>
    </w:p>
    <w:p>
      <w:pPr>
        <w:numPr>
          <w:ilvl w:val="0"/>
          <w:numId w:val="1002"/>
        </w:numPr>
        <w:pStyle w:val="Compact"/>
      </w:pPr>
      <w:r>
        <w:rPr>
          <w:bCs/>
          <w:b/>
        </w:rPr>
        <w:t xml:space="preserve">Scope 2 (Purchased Energy Emissions):</w:t>
      </w:r>
      <w:r>
        <w:t xml:space="preserve"> </w:t>
      </w:r>
      <w:r>
        <w:t xml:space="preserve">Indirect GHG emissions from the generation of purchased electricity, heat, or steam consumed by kuqorkrehe.</w:t>
      </w:r>
    </w:p>
    <w:p>
      <w:pPr>
        <w:numPr>
          <w:ilvl w:val="0"/>
          <w:numId w:val="1002"/>
        </w:numPr>
        <w:pStyle w:val="Compact"/>
      </w:pPr>
      <w:r>
        <w:rPr>
          <w:bCs/>
          <w:b/>
        </w:rPr>
        <w:t xml:space="preserve">Scope 3 (Value Chain Emissions):</w:t>
      </w:r>
      <w:r>
        <w:t xml:space="preserve"> </w:t>
      </w:r>
      <w:r>
        <w:t xml:space="preserve">All other indirect GHG emissions that occur in the value chain of pxhelduvfs, both upstream and downstream. These are typically the largest source of emissions for most companies and are further broken down into 15 categories.</w:t>
      </w:r>
    </w:p>
    <w:bookmarkEnd w:id="24"/>
    <w:bookmarkStart w:id="25" w:name="lsr-update-scope-3-compliance"/>
    <w:p>
      <w:pPr>
        <w:pStyle w:val="Heading2"/>
      </w:pPr>
      <w:r>
        <w:t xml:space="preserve">1.4 2026 LSR Update &amp; Scope 3 Compliance</w:t>
      </w:r>
    </w:p>
    <w:p>
      <w:pPr>
        <w:pStyle w:val="FirstParagraph"/>
      </w:pPr>
      <w:r>
        <w:t xml:space="preserve">This report applies the principles of the upcoming</w:t>
      </w:r>
      <w:r>
        <w:t xml:space="preserve"> </w:t>
      </w:r>
      <w:r>
        <w:rPr>
          <w:bCs/>
          <w:b/>
        </w:rPr>
        <w:t xml:space="preserve">2026 Land Sector and Removals (LSR) Standard</w:t>
      </w:r>
      <w:r>
        <w:t xml:space="preserve"> </w:t>
      </w:r>
      <w:r>
        <w:t xml:space="preserve">for addressing land use and carbon removals where relevant, acknowledging its importance for a holistic view of climate impact. Furthermore, in line with stringent 2026 requirements, efforts have been made to ensure at least</w:t>
      </w:r>
      <w:r>
        <w:t xml:space="preserve"> </w:t>
      </w:r>
      <w:r>
        <w:rPr>
          <w:bCs/>
          <w:b/>
        </w:rPr>
        <w:t xml:space="preserve">95% coverage for Scope 3 reporting</w:t>
      </w:r>
      <w:r>
        <w:t xml:space="preserve">, maximizing data integrity and comprehensiveness across the product\'s value chain.</w:t>
      </w:r>
    </w:p>
    <w:p>
      <w:r>
        <w:pict>
          <v:rect style="width:0;height:1.5pt" o:hralign="center" o:hrstd="t" o:hr="t"/>
        </w:pict>
      </w:r>
    </w:p>
    <w:bookmarkEnd w:id="25"/>
    <w:bookmarkEnd w:id="26"/>
    <w:bookmarkStart w:id="27" w:name="parameters-of-analysis"/>
    <w:p>
      <w:pPr>
        <w:pStyle w:val="Heading1"/>
      </w:pPr>
      <w:r>
        <w:t xml:space="preserve">2. Parameters of Analysis</w:t>
      </w:r>
    </w:p>
    <w:p>
      <w:pPr>
        <w:pStyle w:val="FirstParagraph"/>
      </w:pPr>
      <w:r>
        <w:t xml:space="preserve">The following parameters define the scope and specific conditions for the PCF analysis of pxhelduvfs: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kuqorkrehe</w:t>
            </w:r>
          </w:p>
        </w:tc>
        <w:tc>
          <w:tcPr/>
          <w:p>
            <w:pPr>
              <w:pStyle w:val="Compact"/>
              <w:jc w:val="left"/>
            </w:pPr>
            <w:r>
              <w:t xml:space="preserve">The organization undertaking the PCF analysis.</w:t>
            </w:r>
          </w:p>
        </w:tc>
      </w:tr>
      <w:tr>
        <w:tc>
          <w:tcPr/>
          <w:p>
            <w:pPr>
              <w:pStyle w:val="Compact"/>
              <w:jc w:val="left"/>
            </w:pPr>
            <w:r>
              <w:t xml:space="preserve">Senior Sustainability Consultant</w:t>
            </w:r>
          </w:p>
        </w:tc>
        <w:tc>
          <w:tcPr/>
          <w:p>
            <w:pPr>
              <w:pStyle w:val="Compact"/>
              <w:jc w:val="left"/>
            </w:pPr>
            <w:r>
              <w:t xml:space="preserve">dpeplwzrsf</w:t>
            </w:r>
          </w:p>
        </w:tc>
        <w:tc>
          <w:tcPr/>
          <w:p>
            <w:pPr>
              <w:pStyle w:val="Compact"/>
              <w:jc w:val="left"/>
            </w:pPr>
            <w:r>
              <w:t xml:space="preserve">Lead consultant for this report.</w:t>
            </w:r>
          </w:p>
        </w:tc>
      </w:tr>
      <w:tr>
        <w:tc>
          <w:tcPr/>
          <w:p>
            <w:pPr>
              <w:pStyle w:val="Compact"/>
              <w:jc w:val="left"/>
            </w:pPr>
            <w:r>
              <w:t xml:space="preserve">Product Name</w:t>
            </w:r>
          </w:p>
        </w:tc>
        <w:tc>
          <w:tcPr/>
          <w:p>
            <w:pPr>
              <w:pStyle w:val="Compact"/>
              <w:jc w:val="left"/>
            </w:pPr>
            <w:r>
              <w:t xml:space="preserve">pxhelduvfs</w:t>
            </w:r>
          </w:p>
        </w:tc>
        <w:tc>
          <w:tcPr/>
          <w:p>
            <w:pPr>
              <w:pStyle w:val="Compact"/>
              <w:jc w:val="left"/>
            </w:pPr>
            <w:r>
              <w:t xml:space="preserve">The specific product undergoing PCF analysis.</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The quantified performance of the product for which the PCF is calculated.</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A "cradle-to-gate" assessment focusing on emissions up to the point the product leaves the factory. However, for a comprehensive PCF, downstream stages (transport, use, EoL) are also analyzed and reported.</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Production in China, with the supply chain and use phase impacts considered with a European market focus.</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The foundational standard guiding all emission calculations and reporting.</w:t>
            </w:r>
          </w:p>
        </w:tc>
      </w:tr>
      <w:tr>
        <w:tc>
          <w:tcPr/>
          <w:p>
            <w:pPr>
              <w:pStyle w:val="Compact"/>
              <w:jc w:val="left"/>
            </w:pPr>
            <w:r>
              <w:t xml:space="preserve">Detailed Bill of Materials (BOM)</w:t>
            </w:r>
          </w:p>
        </w:tc>
        <w:tc>
          <w:tcPr/>
          <w:p>
            <w:pPr>
              <w:pStyle w:val="Compact"/>
              <w:jc w:val="left"/>
            </w:pPr>
            <w:r>
              <w:t xml:space="preserve">hxpvenen (illustrative data used, structured as ID, Description, Category, Process, Qty, Unit, Emission Factor, Total Carbon)</w:t>
            </w:r>
          </w:p>
        </w:tc>
        <w:tc>
          <w:tcPr/>
          <w:p>
            <w:pPr>
              <w:pStyle w:val="Compact"/>
              <w:jc w:val="left"/>
            </w:pPr>
            <w:r>
              <w:t xml:space="preserve">Utilized for high-accuracy material impact calculation, replacing default estimates.</w:t>
            </w:r>
          </w:p>
        </w:tc>
      </w:tr>
      <w:tr>
        <w:tc>
          <w:tcPr/>
          <w:p>
            <w:pPr>
              <w:pStyle w:val="Compact"/>
              <w:jc w:val="left"/>
            </w:pPr>
            <w:r>
              <w:t xml:space="preserve">Transport Mode</w:t>
            </w:r>
          </w:p>
        </w:tc>
        <w:tc>
          <w:tcPr/>
          <w:p>
            <w:pPr>
              <w:pStyle w:val="Compact"/>
              <w:jc w:val="left"/>
            </w:pPr>
            <w:r>
              <w:t xml:space="preserve">Select Mode (Illustrative: Road Freight - Heavy Duty Truck)</w:t>
            </w:r>
          </w:p>
        </w:tc>
        <w:tc>
          <w:tcPr/>
          <w:p>
            <w:pPr>
              <w:pStyle w:val="Compact"/>
              <w:jc w:val="left"/>
            </w:pPr>
            <w:r>
              <w:t xml:space="preserve">Primary mode for product transport.</w:t>
            </w:r>
          </w:p>
        </w:tc>
      </w:tr>
      <w:tr>
        <w:tc>
          <w:tcPr/>
          <w:p>
            <w:pPr>
              <w:pStyle w:val="Compact"/>
              <w:jc w:val="left"/>
            </w:pPr>
            <w:r>
              <w:t xml:space="preserve">Transport Distance</w:t>
            </w:r>
          </w:p>
        </w:tc>
        <w:tc>
          <w:tcPr/>
          <w:p>
            <w:pPr>
              <w:pStyle w:val="Compact"/>
              <w:jc w:val="left"/>
            </w:pPr>
            <w:r>
              <w:t xml:space="preserve">yijepizskw (Illustrative: 1500 km for primary transport, 50 km for last-mile)</w:t>
            </w:r>
          </w:p>
        </w:tc>
        <w:tc>
          <w:tcPr/>
          <w:p>
            <w:pPr>
              <w:pStyle w:val="Compact"/>
              <w:jc w:val="left"/>
            </w:pPr>
            <w:r>
              <w:t xml:space="preserve">Distance covered by transport modes.</w:t>
            </w:r>
          </w:p>
        </w:tc>
      </w:tr>
      <w:tr>
        <w:tc>
          <w:tcPr/>
          <w:p>
            <w:pPr>
              <w:pStyle w:val="Compact"/>
              <w:jc w:val="left"/>
            </w:pPr>
            <w:r>
              <w:t xml:space="preserve">Last-Mile Delivery Channel</w:t>
            </w:r>
          </w:p>
        </w:tc>
        <w:tc>
          <w:tcPr/>
          <w:p>
            <w:pPr>
              <w:pStyle w:val="Compact"/>
              <w:jc w:val="left"/>
            </w:pPr>
            <w:r>
              <w:t xml:space="preserve">Delivery Type (Illustrative: Light Commercial Vehicle)</w:t>
            </w:r>
          </w:p>
        </w:tc>
        <w:tc>
          <w:tcPr/>
          <w:p>
            <w:pPr>
              <w:pStyle w:val="Compact"/>
              <w:jc w:val="left"/>
            </w:pPr>
            <w:r>
              <w:t xml:space="preserve">Channel for final product delivery to the consumer.</w:t>
            </w:r>
          </w:p>
        </w:tc>
      </w:tr>
      <w:tr>
        <w:tc>
          <w:tcPr/>
          <w:p>
            <w:pPr>
              <w:pStyle w:val="Compact"/>
              <w:jc w:val="left"/>
            </w:pPr>
            <w:r>
              <w:t xml:space="preserve">Renewable Energy Usage</w:t>
            </w:r>
          </w:p>
        </w:tc>
        <w:tc>
          <w:tcPr/>
          <w:p>
            <w:pPr>
              <w:pStyle w:val="Compact"/>
              <w:jc w:val="left"/>
            </w:pPr>
            <w:r>
              <w:t xml:space="preserve">kxfejtwghq (Illustrative: 60%)</w:t>
            </w:r>
          </w:p>
        </w:tc>
        <w:tc>
          <w:tcPr/>
          <w:p>
            <w:pPr>
              <w:pStyle w:val="Compact"/>
              <w:jc w:val="left"/>
            </w:pPr>
            <w:r>
              <w:t xml:space="preserve">Percentage of renewable energy used in the production phase.</w:t>
            </w:r>
          </w:p>
        </w:tc>
      </w:tr>
      <w:tr>
        <w:tc>
          <w:tcPr/>
          <w:p>
            <w:pPr>
              <w:pStyle w:val="Compact"/>
              <w:jc w:val="left"/>
            </w:pPr>
            <w:r>
              <w:t xml:space="preserve">Energy Intensity (kWh/unit)</w:t>
            </w:r>
          </w:p>
        </w:tc>
        <w:tc>
          <w:tcPr/>
          <w:p>
            <w:pPr>
              <w:pStyle w:val="Compact"/>
              <w:jc w:val="left"/>
            </w:pPr>
            <w:r>
              <w:t xml:space="preserve">gzwhqodsnn (Illustrative: 25 kWh/unit)</w:t>
            </w:r>
          </w:p>
        </w:tc>
        <w:tc>
          <w:tcPr/>
          <w:p>
            <w:pPr>
              <w:pStyle w:val="Compact"/>
              <w:jc w:val="left"/>
            </w:pPr>
            <w:r>
              <w:t xml:space="preserve">Electricity consumption per functional unit in the production phase.</w:t>
            </w:r>
          </w:p>
        </w:tc>
      </w:tr>
      <w:tr>
        <w:tc>
          <w:tcPr/>
          <w:p>
            <w:pPr>
              <w:pStyle w:val="Compact"/>
              <w:jc w:val="left"/>
            </w:pPr>
            <w:r>
              <w:t xml:space="preserve">Product Lifespan</w:t>
            </w:r>
          </w:p>
        </w:tc>
        <w:tc>
          <w:tcPr/>
          <w:p>
            <w:pPr>
              <w:pStyle w:val="Compact"/>
              <w:jc w:val="left"/>
            </w:pPr>
            <w:r>
              <w:t xml:space="preserve">szrvkilejy (Illustrative: 5 years)</w:t>
            </w:r>
          </w:p>
        </w:tc>
        <w:tc>
          <w:tcPr/>
          <w:p>
            <w:pPr>
              <w:pStyle w:val="Compact"/>
              <w:jc w:val="left"/>
            </w:pPr>
            <w:r>
              <w:t xml:space="preserve">Expected operational life of the product.</w:t>
            </w:r>
          </w:p>
        </w:tc>
      </w:tr>
      <w:tr>
        <w:tc>
          <w:tcPr/>
          <w:p>
            <w:pPr>
              <w:pStyle w:val="Compact"/>
              <w:jc w:val="left"/>
            </w:pPr>
            <w:r>
              <w:t xml:space="preserve">Energy Consumption in Use</w:t>
            </w:r>
          </w:p>
        </w:tc>
        <w:tc>
          <w:tcPr/>
          <w:p>
            <w:pPr>
              <w:pStyle w:val="Compact"/>
              <w:jc w:val="left"/>
            </w:pPr>
            <w:r>
              <w:t xml:space="preserve">ydytjwnwqo (Illustrative: 10 kWh/year)</w:t>
            </w:r>
          </w:p>
        </w:tc>
        <w:tc>
          <w:tcPr/>
          <w:p>
            <w:pPr>
              <w:pStyle w:val="Compact"/>
              <w:jc w:val="left"/>
            </w:pPr>
            <w:r>
              <w:t xml:space="preserve">Annual electricity consumption during the product\'s use phase.</w:t>
            </w:r>
          </w:p>
        </w:tc>
      </w:tr>
      <w:tr>
        <w:tc>
          <w:tcPr/>
          <w:p>
            <w:pPr>
              <w:pStyle w:val="Compact"/>
              <w:jc w:val="left"/>
            </w:pPr>
            <w:r>
              <w:t xml:space="preserve">Recyclability Percentage</w:t>
            </w:r>
          </w:p>
        </w:tc>
        <w:tc>
          <w:tcPr/>
          <w:p>
            <w:pPr>
              <w:pStyle w:val="Compact"/>
              <w:jc w:val="left"/>
            </w:pPr>
            <w:r>
              <w:t xml:space="preserve">ytpzwgfkwk (Illustrative: 75%)</w:t>
            </w:r>
          </w:p>
        </w:tc>
        <w:tc>
          <w:tcPr/>
          <w:p>
            <w:pPr>
              <w:pStyle w:val="Compact"/>
              <w:jc w:val="left"/>
            </w:pPr>
            <w:r>
              <w:t xml:space="preserve">Percentage of product materials that are technically recyclable.</w:t>
            </w:r>
          </w:p>
        </w:tc>
      </w:tr>
      <w:tr>
        <w:tc>
          <w:tcPr/>
          <w:p>
            <w:pPr>
              <w:pStyle w:val="Compact"/>
              <w:jc w:val="left"/>
            </w:pPr>
            <w:r>
              <w:t xml:space="preserve">Circular/Take-back Programs</w:t>
            </w:r>
          </w:p>
        </w:tc>
        <w:tc>
          <w:tcPr/>
          <w:p>
            <w:pPr>
              <w:pStyle w:val="Compact"/>
              <w:jc w:val="left"/>
            </w:pPr>
            <w:r>
              <w:t xml:space="preserve">uszulujnfx (Illustrative: Yes, comprehensive take-back program in place)</w:t>
            </w:r>
          </w:p>
        </w:tc>
        <w:tc>
          <w:tcPr/>
          <w:p>
            <w:pPr>
              <w:pStyle w:val="Compact"/>
              <w:jc w:val="left"/>
            </w:pPr>
            <w:r>
              <w:t xml:space="preserve">Presence and nature of programs for product recovery at end-of-life.</w:t>
            </w:r>
          </w:p>
        </w:tc>
      </w:tr>
    </w:tbl>
    <w:p>
      <w:r>
        <w:pict>
          <v:rect style="width:0;height:1.5pt" o:hralign="center" o:hrstd="t" o:hr="t"/>
        </w:pict>
      </w:r>
    </w:p>
    <w:bookmarkEnd w:id="27"/>
    <w:bookmarkStart w:id="35" w:name="X20a1fc08f36c56802397b311172be5dc302f2de"/>
    <w:p>
      <w:pPr>
        <w:pStyle w:val="Heading1"/>
      </w:pPr>
      <w:r>
        <w:t xml:space="preserve">3. Lifecycle Inventory &amp; Data Collection (Steps 2 &amp; 3)</w:t>
      </w:r>
    </w:p>
    <w:p>
      <w:pPr>
        <w:pStyle w:val="FirstParagraph"/>
      </w:pPr>
      <w:r>
        <w:t xml:space="preserve">This section details the inputs and outputs across the product\'s lifecycle stages, outlining the data collected and assumptions made for emission calculations. Industry-standard emission factors (e.g., from Ecoinvent/DEFRA) are applied to quantify impacts.</w:t>
      </w:r>
    </w:p>
    <w:bookmarkStart w:id="28" w:name="X1e145f90d644c2802441031e2d3ab4d09e2134c"/>
    <w:p>
      <w:pPr>
        <w:pStyle w:val="Heading2"/>
      </w:pPr>
      <w:r>
        <w:t xml:space="preserve">3.1 Materials Acquisition and Pre-processing (Scope 3, Category 1: Purchased goods and services)</w:t>
      </w:r>
    </w:p>
    <w:p>
      <w:pPr>
        <w:pStyle w:val="FirstParagraph"/>
      </w:pPr>
      <w:r>
        <w:t xml:space="preserve">The detailed Bill of Materials (BOM) for pxhelduvfs (hxpvenen) is used to calculate the carbon impact from raw material extraction, processing, and manufacturing. For illustrative purposes, the following sample BOM data and associated carbon footprints are used, based on the specified format (ID, Description, Category, Process, Qty, Unit, Emission Factor, Total Carbon).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0.06</w:t>
            </w:r>
          </w:p>
        </w:tc>
      </w:tr>
      <w:tr>
        <w:tc>
          <w:tcPr>
            <w:gridSpan w:val="7"/>
          </w:tcPr>
          <w:p>
            <w:pPr>
              <w:pStyle w:val="Compact"/>
              <w:jc w:val="right"/>
            </w:pPr>
            <w:r>
              <w:rPr>
                <w:bCs/>
                <w:b/>
              </w:rPr>
              <w:t xml:space="preserve">Total Material Carbon Impact:</w:t>
            </w:r>
          </w:p>
        </w:tc>
        <w:tc>
          <w:tcPr/>
          <w:p>
            <w:pPr>
              <w:pStyle w:val="Compact"/>
              <w:jc w:val="left"/>
            </w:pPr>
            <w:r>
              <w:rPr>
                <w:bCs/>
                <w:b/>
              </w:rPr>
              <w:t xml:space="preserve">4.41 kgCO2e</w:t>
            </w:r>
          </w:p>
        </w:tc>
      </w:tr>
    </w:tbl>
    <w:p>
      <w:pPr>
        <w:pStyle w:val="BodyText"/>
      </w:pPr>
      <w:r>
        <w:t xml:space="preserve">The total mass of materials for one unit of pxhelduvfs (including primary packaging) is approximately 0.85 kg.</w:t>
      </w:r>
    </w:p>
    <w:bookmarkEnd w:id="28"/>
    <w:bookmarkStart w:id="29" w:name="Xbccd685fa326a5a6df4e47a5891aca21cdd8f96"/>
    <w:p>
      <w:pPr>
        <w:pStyle w:val="Heading2"/>
      </w:pPr>
      <w:r>
        <w:t xml:space="preserve">3.2 Production Phase (Scope 2: Purchased electricity)</w:t>
      </w:r>
    </w:p>
    <w:p>
      <w:pPr>
        <w:pStyle w:val="FirstParagraph"/>
      </w:pPr>
      <w:r>
        <w:t xml:space="preserve">The energy consumed during the manufacturing processes at the production facility in China is a critical input. We consider the provided energy intensity and renewable energy usage.</w:t>
      </w:r>
    </w:p>
    <w:p>
      <w:pPr>
        <w:numPr>
          <w:ilvl w:val="0"/>
          <w:numId w:val="1003"/>
        </w:numPr>
        <w:pStyle w:val="Compact"/>
      </w:pPr>
      <w:r>
        <w:rPr>
          <w:bCs/>
          <w:b/>
        </w:rPr>
        <w:t xml:space="preserve">Energy Intensity (kWh/unit):</w:t>
      </w:r>
      <w:r>
        <w:t xml:space="preserve"> </w:t>
      </w:r>
      <w:r>
        <w:t xml:space="preserve">25 kWh/unit (gzwhqodsnn)</w:t>
      </w:r>
    </w:p>
    <w:p>
      <w:pPr>
        <w:numPr>
          <w:ilvl w:val="0"/>
          <w:numId w:val="1003"/>
        </w:numPr>
        <w:pStyle w:val="Compact"/>
      </w:pPr>
      <w:r>
        <w:rPr>
          <w:bCs/>
          <w:b/>
        </w:rPr>
        <w:t xml:space="preserve">Renewable Energy Usage:</w:t>
      </w:r>
      <w:r>
        <w:t xml:space="preserve"> </w:t>
      </w:r>
      <w:r>
        <w:t xml:space="preserve">60% (kxfejtwghq)</w:t>
      </w:r>
    </w:p>
    <w:p>
      <w:pPr>
        <w:numPr>
          <w:ilvl w:val="0"/>
          <w:numId w:val="1003"/>
        </w:numPr>
        <w:pStyle w:val="Compact"/>
      </w:pPr>
      <w:r>
        <w:rPr>
          <w:bCs/>
          <w:b/>
        </w:rPr>
        <w:t xml:space="preserve">Non-Renewable Electricity Consumed:</w:t>
      </w:r>
      <w:r>
        <w:t xml:space="preserve"> </w:t>
      </w:r>
      <w:r>
        <w:t xml:space="preserve">25 kWh/unit * (1 - 0.60) = 10 kWh/unit</w:t>
      </w:r>
    </w:p>
    <w:p>
      <w:pPr>
        <w:numPr>
          <w:ilvl w:val="0"/>
          <w:numId w:val="1003"/>
        </w:numPr>
        <w:pStyle w:val="Compact"/>
      </w:pPr>
      <w:r>
        <w:rPr>
          <w:bCs/>
          <w:b/>
        </w:rPr>
        <w:t xml:space="preserve">Illustrative China Grid Emission Factor:</w:t>
      </w:r>
      <w:r>
        <w:t xml:space="preserve"> </w:t>
      </w:r>
      <w:r>
        <w:t xml:space="preserve">0.75 kgCO2e/kWh (based on average grid mix for China, considering recent data trends which vary by province, as a general estimate for the production region).</w:t>
      </w:r>
    </w:p>
    <w:bookmarkEnd w:id="29"/>
    <w:bookmarkStart w:id="32" w:name="transportation-scope-3-categories-4-9"/>
    <w:p>
      <w:pPr>
        <w:pStyle w:val="Heading2"/>
      </w:pPr>
      <w:r>
        <w:t xml:space="preserve">3.3 Transportation (Scope 3, Categories 4 &amp; 9)</w:t>
      </w:r>
    </w:p>
    <w:p>
      <w:pPr>
        <w:pStyle w:val="FirstParagraph"/>
      </w:pPr>
      <w:r>
        <w:t xml:space="preserve">Logistics data for both upstream (to factory) and downstream (to customer) transportation are incorporated.</w:t>
      </w:r>
    </w:p>
    <w:p>
      <w:pPr>
        <w:numPr>
          <w:ilvl w:val="0"/>
          <w:numId w:val="1004"/>
        </w:numPr>
        <w:pStyle w:val="Compact"/>
      </w:pPr>
      <w:r>
        <w:rPr>
          <w:bCs/>
          <w:b/>
        </w:rPr>
        <w:t xml:space="preserve">Product Weight for Transport:</w:t>
      </w:r>
      <w:r>
        <w:t xml:space="preserve"> </w:t>
      </w:r>
      <w:r>
        <w:t xml:space="preserve">0.85 kg/unit (based on total material mass).</w:t>
      </w:r>
    </w:p>
    <w:p>
      <w:pPr>
        <w:numPr>
          <w:ilvl w:val="0"/>
          <w:numId w:val="1004"/>
        </w:numPr>
        <w:pStyle w:val="Compact"/>
      </w:pPr>
      <w:r>
        <w:rPr>
          <w:bCs/>
          <w:b/>
        </w:rPr>
        <w:t xml:space="preserve">Illustrative Road Freight (Heavy Duty Truck) Emission Factor:</w:t>
      </w:r>
      <w:r>
        <w:t xml:space="preserve"> </w:t>
      </w:r>
      <w:r>
        <w:t xml:space="preserve">0.00009 kgCO2e/kg.km (equivalent to 0.09 kgCO2e/tkm, derived from DEFRA-type data for road freight).</w:t>
      </w:r>
    </w:p>
    <w:p>
      <w:pPr>
        <w:numPr>
          <w:ilvl w:val="0"/>
          <w:numId w:val="1004"/>
        </w:numPr>
        <w:pStyle w:val="Compact"/>
      </w:pPr>
      <w:r>
        <w:rPr>
          <w:bCs/>
          <w:b/>
        </w:rPr>
        <w:t xml:space="preserve">Illustrative Light Commercial Vehicle (LCV) Emission Factor (Last-Mile):</w:t>
      </w:r>
      <w:r>
        <w:t xml:space="preserve"> </w:t>
      </w:r>
      <w:r>
        <w:t xml:space="preserve">0.0002 kgCO2e/kg.km (equivalent to 0.2 kgCO2e/tkm, reflecting higher emissions for last-mile delivery).</w:t>
      </w:r>
    </w:p>
    <w:bookmarkStart w:id="30" w:name="X827cfe9d50289e319c2652bfd7dd79182d79791"/>
    <w:p>
      <w:pPr>
        <w:pStyle w:val="Heading3"/>
      </w:pPr>
      <w:r>
        <w:t xml:space="preserve">3.3.1 Upstream Transportation (Category 4: Upstream transportation and distribution)</w:t>
      </w:r>
    </w:p>
    <w:p>
      <w:pPr>
        <w:numPr>
          <w:ilvl w:val="0"/>
          <w:numId w:val="1005"/>
        </w:numPr>
        <w:pStyle w:val="Compact"/>
      </w:pPr>
      <w:r>
        <w:rPr>
          <w:bCs/>
          <w:b/>
        </w:rPr>
        <w:t xml:space="preserve">Assumed Average Upstream Transport Distance:</w:t>
      </w:r>
      <w:r>
        <w:t xml:space="preserve"> </w:t>
      </w:r>
      <w:r>
        <w:t xml:space="preserve">500 km (e.g., raw materials to factory in China)</w:t>
      </w:r>
    </w:p>
    <w:p>
      <w:pPr>
        <w:numPr>
          <w:ilvl w:val="0"/>
          <w:numId w:val="1005"/>
        </w:numPr>
        <w:pStyle w:val="Compact"/>
      </w:pPr>
      <w:r>
        <w:rPr>
          <w:bCs/>
          <w:b/>
        </w:rPr>
        <w:t xml:space="preserve">Mode:</w:t>
      </w:r>
      <w:r>
        <w:t xml:space="preserve"> </w:t>
      </w:r>
      <w:r>
        <w:t xml:space="preserve">Road Freight (Heavy Duty Truck)</w:t>
      </w:r>
    </w:p>
    <w:bookmarkEnd w:id="30"/>
    <w:bookmarkStart w:id="31" w:name="X70ac4363015a18aa7a21c1f382dd5e0940f7678"/>
    <w:p>
      <w:pPr>
        <w:pStyle w:val="Heading3"/>
      </w:pPr>
      <w:r>
        <w:t xml:space="preserve">3.3.2 Downstream Transportation (Category 9: Downstream transportation and distribution)</w:t>
      </w:r>
    </w:p>
    <w:p>
      <w:pPr>
        <w:numPr>
          <w:ilvl w:val="0"/>
          <w:numId w:val="1006"/>
        </w:numPr>
        <w:pStyle w:val="Compact"/>
      </w:pPr>
      <w:r>
        <w:rPr>
          <w:bCs/>
          <w:b/>
        </w:rPr>
        <w:t xml:space="preserve">Primary Transport Distance (factory to central European hub):</w:t>
      </w:r>
      <w:r>
        <w:t xml:space="preserve"> </w:t>
      </w:r>
      <w:r>
        <w:t xml:space="preserve">1500 km (yijepizskw)</w:t>
      </w:r>
    </w:p>
    <w:p>
      <w:pPr>
        <w:numPr>
          <w:ilvl w:val="0"/>
          <w:numId w:val="1006"/>
        </w:numPr>
        <w:pStyle w:val="Compact"/>
      </w:pPr>
      <w:r>
        <w:rPr>
          <w:bCs/>
          <w:b/>
        </w:rPr>
        <w:t xml:space="preserve">Mode:</w:t>
      </w:r>
      <w:r>
        <w:t xml:space="preserve"> </w:t>
      </w:r>
      <w:r>
        <w:t xml:space="preserve">Road Freight (Heavy Duty Truck) (Select Mode)</w:t>
      </w:r>
    </w:p>
    <w:p>
      <w:pPr>
        <w:numPr>
          <w:ilvl w:val="0"/>
          <w:numId w:val="1006"/>
        </w:numPr>
        <w:pStyle w:val="Compact"/>
      </w:pPr>
      <w:r>
        <w:rPr>
          <w:bCs/>
          <w:b/>
        </w:rPr>
        <w:t xml:space="preserve">Last-Mile Delivery Distance (hub to customer):</w:t>
      </w:r>
      <w:r>
        <w:t xml:space="preserve"> </w:t>
      </w:r>
      <w:r>
        <w:t xml:space="preserve">50 km</w:t>
      </w:r>
    </w:p>
    <w:p>
      <w:pPr>
        <w:numPr>
          <w:ilvl w:val="0"/>
          <w:numId w:val="1006"/>
        </w:numPr>
        <w:pStyle w:val="Compact"/>
      </w:pPr>
      <w:r>
        <w:rPr>
          <w:bCs/>
          <w:b/>
        </w:rPr>
        <w:t xml:space="preserve">Channel:</w:t>
      </w:r>
      <w:r>
        <w:t xml:space="preserve"> </w:t>
      </w:r>
      <w:r>
        <w:t xml:space="preserve">Light Commercial Vehicle (Delivery Type)</w:t>
      </w:r>
    </w:p>
    <w:bookmarkEnd w:id="31"/>
    <w:bookmarkEnd w:id="32"/>
    <w:bookmarkStart w:id="33" w:name="Xc8d47610e025d3b1fe367d676386ecee874efa3"/>
    <w:p>
      <w:pPr>
        <w:pStyle w:val="Heading2"/>
      </w:pPr>
      <w:r>
        <w:t xml:space="preserve">3.4 Use Phase (Scope 3, Category 11: Use of sold products)</w:t>
      </w:r>
    </w:p>
    <w:p>
      <w:pPr>
        <w:pStyle w:val="FirstParagraph"/>
      </w:pPr>
      <w:r>
        <w:t xml:space="preserve">The energy consumption during the product\'s operational life is accounted for.</w:t>
      </w:r>
    </w:p>
    <w:p>
      <w:pPr>
        <w:numPr>
          <w:ilvl w:val="0"/>
          <w:numId w:val="1007"/>
        </w:numPr>
        <w:pStyle w:val="Compact"/>
      </w:pPr>
      <w:r>
        <w:rPr>
          <w:bCs/>
          <w:b/>
        </w:rPr>
        <w:t xml:space="preserve">Product Lifespan:</w:t>
      </w:r>
      <w:r>
        <w:t xml:space="preserve"> </w:t>
      </w:r>
      <w:r>
        <w:t xml:space="preserve">5 years (szrvkilejy)</w:t>
      </w:r>
    </w:p>
    <w:p>
      <w:pPr>
        <w:numPr>
          <w:ilvl w:val="0"/>
          <w:numId w:val="1007"/>
        </w:numPr>
        <w:pStyle w:val="Compact"/>
      </w:pPr>
      <w:r>
        <w:rPr>
          <w:bCs/>
          <w:b/>
        </w:rPr>
        <w:t xml:space="preserve">Energy Consumption in Use:</w:t>
      </w:r>
      <w:r>
        <w:t xml:space="preserve"> </w:t>
      </w:r>
      <w:r>
        <w:t xml:space="preserve">10 kWh/year (ydytjwnwqo)</w:t>
      </w:r>
    </w:p>
    <w:p>
      <w:pPr>
        <w:numPr>
          <w:ilvl w:val="0"/>
          <w:numId w:val="1007"/>
        </w:numPr>
        <w:pStyle w:val="Compact"/>
      </w:pPr>
      <w:r>
        <w:rPr>
          <w:bCs/>
          <w:b/>
        </w:rPr>
        <w:t xml:space="preserve">Total Energy Consumption over Lifespan:</w:t>
      </w:r>
      <w:r>
        <w:t xml:space="preserve"> </w:t>
      </w:r>
      <w:r>
        <w:t xml:space="preserve">50 kWh/unit</w:t>
      </w:r>
    </w:p>
    <w:p>
      <w:pPr>
        <w:numPr>
          <w:ilvl w:val="0"/>
          <w:numId w:val="1007"/>
        </w:numPr>
        <w:pStyle w:val="Compact"/>
      </w:pPr>
      <w:r>
        <w:rPr>
          <w:bCs/>
          <w:b/>
        </w:rPr>
        <w:t xml:space="preserve">Illustrative European Grid Emission Factor:</w:t>
      </w:r>
      <w:r>
        <w:t xml:space="preserve"> </w:t>
      </w:r>
      <w:r>
        <w:t xml:space="preserve">0.181 kgCO2e/kWh (average for Europe in 2024, reflecting significant decarbonization).</w:t>
      </w:r>
    </w:p>
    <w:bookmarkEnd w:id="33"/>
    <w:bookmarkStart w:id="34" w:name="X3469672ea15ea9edfd64180e135dbd669c95da4"/>
    <w:p>
      <w:pPr>
        <w:pStyle w:val="Heading2"/>
      </w:pPr>
      <w:r>
        <w:t xml:space="preserve">3.5 End-of-Life (EoL) Phase (Scope 3, Category 12: End-of-life treatment of sold products)</w:t>
      </w:r>
    </w:p>
    <w:p>
      <w:pPr>
        <w:pStyle w:val="FirstParagraph"/>
      </w:pPr>
      <w:r>
        <w:t xml:space="preserve">EoL scenarios incorporate recyclability and circular economy programs.</w:t>
      </w:r>
    </w:p>
    <w:p>
      <w:pPr>
        <w:numPr>
          <w:ilvl w:val="0"/>
          <w:numId w:val="1008"/>
        </w:numPr>
        <w:pStyle w:val="Compact"/>
      </w:pPr>
      <w:r>
        <w:rPr>
          <w:bCs/>
          <w:b/>
        </w:rPr>
        <w:t xml:space="preserve">Recyclability Percentage:</w:t>
      </w:r>
      <w:r>
        <w:t xml:space="preserve"> </w:t>
      </w:r>
      <w:r>
        <w:t xml:space="preserve">75% (ytpzwgfkwk)</w:t>
      </w:r>
    </w:p>
    <w:p>
      <w:pPr>
        <w:numPr>
          <w:ilvl w:val="0"/>
          <w:numId w:val="1008"/>
        </w:numPr>
        <w:pStyle w:val="Compact"/>
      </w:pPr>
      <w:r>
        <w:rPr>
          <w:bCs/>
          <w:b/>
        </w:rPr>
        <w:t xml:space="preserve">Circular/Take-back Programs:</w:t>
      </w:r>
      <w:r>
        <w:t xml:space="preserve"> </w:t>
      </w:r>
      <w:r>
        <w:t xml:space="preserve">Yes, comprehensive take-back program in place (uszulujnfx)</w:t>
      </w:r>
    </w:p>
    <w:p>
      <w:pPr>
        <w:numPr>
          <w:ilvl w:val="0"/>
          <w:numId w:val="1008"/>
        </w:numPr>
        <w:pStyle w:val="Compact"/>
      </w:pPr>
      <w:r>
        <w:rPr>
          <w:bCs/>
          <w:b/>
        </w:rPr>
        <w:t xml:space="preserve">Material Mass for EoL:</w:t>
      </w:r>
      <w:r>
        <w:t xml:space="preserve"> </w:t>
      </w:r>
      <w:r>
        <w:t xml:space="preserve">0.85 kg</w:t>
      </w:r>
    </w:p>
    <w:p>
      <w:pPr>
        <w:numPr>
          <w:ilvl w:val="0"/>
          <w:numId w:val="1008"/>
        </w:numPr>
        <w:pStyle w:val="Compact"/>
      </w:pPr>
      <w:r>
        <w:rPr>
          <w:bCs/>
          <w:b/>
        </w:rPr>
        <w:t xml:space="preserve">Recycling Credit:</w:t>
      </w:r>
      <w:r>
        <w:t xml:space="preserve"> </w:t>
      </w:r>
      <w:r>
        <w:t xml:space="preserve">A credit for the recycled portion is applied, typically reflecting avoided virgin material production. We use an illustrative 50% credit on the initial material production emissions for the recycled share.</w:t>
      </w:r>
    </w:p>
    <w:p>
      <w:pPr>
        <w:numPr>
          <w:ilvl w:val="0"/>
          <w:numId w:val="1008"/>
        </w:numPr>
        <w:pStyle w:val="Compact"/>
      </w:pPr>
      <w:r>
        <w:rPr>
          <w:bCs/>
          <w:b/>
        </w:rPr>
        <w:t xml:space="preserve">Landfill Emissions:</w:t>
      </w:r>
      <w:r>
        <w:t xml:space="preserve"> </w:t>
      </w:r>
      <w:r>
        <w:t xml:space="preserve">Emissions for the non-recycled portion are accounted for, based on material type and disposal method. We use an illustrative landfill emission factor of 0.5 kgCO2e/kg for mixed waste.</w:t>
      </w:r>
    </w:p>
    <w:p>
      <w:r>
        <w:pict>
          <v:rect style="width:0;height:1.5pt" o:hralign="center" o:hrstd="t" o:hr="t"/>
        </w:pict>
      </w:r>
    </w:p>
    <w:bookmarkEnd w:id="34"/>
    <w:bookmarkEnd w:id="35"/>
    <w:bookmarkStart w:id="38" w:name="emission-calculations-step-4"/>
    <w:p>
      <w:pPr>
        <w:pStyle w:val="Heading1"/>
      </w:pPr>
      <w:r>
        <w:t xml:space="preserve">4. Emission Calculations (Step 4)</w:t>
      </w:r>
    </w:p>
    <w:p>
      <w:pPr>
        <w:pStyle w:val="FirstParagraph"/>
      </w:pPr>
      <w:r>
        <w:t xml:space="preserve">This section presents the quantified GHG emissions for each lifecycle stage of pxhelduvfs, categorized by GHG Protocol scopes. All calculations use the activity data and illustrative emission factors detailed in the previous section.</w:t>
      </w:r>
    </w:p>
    <w:bookmarkStart w:id="36" w:name="X8d5e3225efc6798cee5e0dcba877fef2ead9e2e"/>
    <w:p>
      <w:pPr>
        <w:pStyle w:val="Heading2"/>
      </w:pPr>
      <w:r>
        <w:t xml:space="preserve">4.1 Summary of GHG Emissions by Lifecycle Stage and Scope</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Calculation Details</w:t>
            </w:r>
          </w:p>
        </w:tc>
        <w:tc>
          <w:tcPr/>
          <w:p>
            <w:pPr>
              <w:pStyle w:val="Compact"/>
              <w:jc w:val="left"/>
            </w:pPr>
            <w:r>
              <w:t xml:space="preserve">CO2e (kg/unit)</w:t>
            </w:r>
          </w:p>
        </w:tc>
      </w:tr>
      <w:tr>
        <w:tc>
          <w:tcPr/>
          <w:p>
            <w:pPr>
              <w:pStyle w:val="Compact"/>
              <w:jc w:val="left"/>
            </w:pPr>
            <w:r>
              <w:rPr>
                <w:bCs/>
                <w:b/>
              </w:rPr>
              <w:t xml:space="preserve">Materials Acquisition &amp; Pre-processing</w:t>
            </w:r>
          </w:p>
        </w:tc>
        <w:tc>
          <w:tcPr/>
          <w:p>
            <w:pPr>
              <w:pStyle w:val="Compact"/>
              <w:jc w:val="left"/>
            </w:pPr>
            <w:r>
              <w:t xml:space="preserve">Scope 3, Category 1</w:t>
            </w:r>
          </w:p>
        </w:tc>
        <w:tc>
          <w:tcPr/>
          <w:p>
            <w:pPr>
              <w:pStyle w:val="Compact"/>
              <w:jc w:val="left"/>
            </w:pPr>
            <w:r>
              <w:t xml:space="preserve">Sum of \'Total Carbon\' from BOM.</w:t>
            </w:r>
          </w:p>
        </w:tc>
        <w:tc>
          <w:tcPr/>
          <w:p>
            <w:pPr>
              <w:pStyle w:val="Compact"/>
              <w:jc w:val="left"/>
            </w:pPr>
            <w:r>
              <w:t xml:space="preserve">4.410</w:t>
            </w:r>
          </w:p>
        </w:tc>
      </w:tr>
      <w:tr>
        <w:tc>
          <w:tcPr/>
          <w:p>
            <w:pPr>
              <w:pStyle w:val="Compact"/>
              <w:jc w:val="left"/>
            </w:pPr>
            <w:r>
              <w:rPr>
                <w:bCs/>
                <w:b/>
              </w:rPr>
              <w:t xml:space="preserve">Production Energy</w:t>
            </w:r>
          </w:p>
        </w:tc>
        <w:tc>
          <w:tcPr/>
          <w:p>
            <w:pPr>
              <w:pStyle w:val="Compact"/>
              <w:jc w:val="left"/>
            </w:pPr>
            <w:r>
              <w:t xml:space="preserve">Scope 2</w:t>
            </w:r>
          </w:p>
        </w:tc>
        <w:tc>
          <w:tcPr/>
          <w:p>
            <w:pPr>
              <w:pStyle w:val="Compact"/>
              <w:jc w:val="left"/>
            </w:pPr>
            <w:r>
              <w:t xml:space="preserve">10 kWh (non-renewable) * 0.75 kgCO2e/kWh</w:t>
            </w:r>
          </w:p>
        </w:tc>
        <w:tc>
          <w:tcPr/>
          <w:p>
            <w:pPr>
              <w:pStyle w:val="Compact"/>
              <w:jc w:val="left"/>
            </w:pPr>
            <w:r>
              <w:t xml:space="preserve">7.500</w:t>
            </w:r>
          </w:p>
        </w:tc>
      </w:tr>
      <w:tr>
        <w:tc>
          <w:tcPr/>
          <w:p>
            <w:pPr>
              <w:pStyle w:val="Compact"/>
              <w:jc w:val="left"/>
            </w:pPr>
            <w:r>
              <w:rPr>
                <w:bCs/>
                <w:b/>
              </w:rPr>
              <w:t xml:space="preserve">Upstream Transportation</w:t>
            </w:r>
          </w:p>
        </w:tc>
        <w:tc>
          <w:tcPr/>
          <w:p>
            <w:pPr>
              <w:pStyle w:val="Compact"/>
              <w:jc w:val="left"/>
            </w:pPr>
            <w:r>
              <w:t xml:space="preserve">Scope 3, Category 4</w:t>
            </w:r>
          </w:p>
        </w:tc>
        <w:tc>
          <w:tcPr/>
          <w:p>
            <w:pPr>
              <w:pStyle w:val="Compact"/>
              <w:jc w:val="left"/>
            </w:pPr>
            <w:r>
              <w:t xml:space="preserve">0.85 kg * 500 km * 0.00009 kgCO2e/kg.km</w:t>
            </w:r>
          </w:p>
        </w:tc>
        <w:tc>
          <w:tcPr/>
          <w:p>
            <w:pPr>
              <w:pStyle w:val="Compact"/>
              <w:jc w:val="left"/>
            </w:pPr>
            <w:r>
              <w:t xml:space="preserve">0.038</w:t>
            </w:r>
          </w:p>
        </w:tc>
      </w:tr>
      <w:tr>
        <w:tc>
          <w:tcPr/>
          <w:p>
            <w:pPr>
              <w:pStyle w:val="Compact"/>
              <w:jc w:val="left"/>
            </w:pPr>
            <w:r>
              <w:rPr>
                <w:bCs/>
                <w:b/>
              </w:rPr>
              <w:t xml:space="preserve">Downstream Transportation</w:t>
            </w:r>
          </w:p>
        </w:tc>
        <w:tc>
          <w:tcPr/>
          <w:p>
            <w:pPr>
              <w:pStyle w:val="Compact"/>
              <w:jc w:val="left"/>
            </w:pPr>
            <w:r>
              <w:t xml:space="preserve">Scope 3, Category 9</w:t>
            </w:r>
          </w:p>
        </w:tc>
        <w:tc>
          <w:tcPr/>
          <w:p>
            <w:pPr>
              <w:pStyle w:val="Compact"/>
              <w:jc w:val="left"/>
            </w:pPr>
            <w:r>
              <w:t xml:space="preserve">(0.85 kg * 1500 km * 0.00009 kgCO2e/kg.km) + (0.85 kg * 50 km * 0.0002 kgCO2e/kg.km)</w:t>
            </w:r>
          </w:p>
        </w:tc>
        <w:tc>
          <w:tcPr/>
          <w:p>
            <w:pPr>
              <w:pStyle w:val="Compact"/>
              <w:jc w:val="left"/>
            </w:pPr>
            <w:r>
              <w:t xml:space="preserve">0.123</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50 kWh * 0.181 kgCO2e/kWh</w:t>
            </w:r>
          </w:p>
        </w:tc>
        <w:tc>
          <w:tcPr/>
          <w:p>
            <w:pPr>
              <w:pStyle w:val="Compact"/>
              <w:jc w:val="left"/>
            </w:pPr>
            <w:r>
              <w:t xml:space="preserve">9.050</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Landfill: (0.85 kg * 0.25) * 0.5 kgCO2e/kg = 0.106 kgCO2e</w:t>
            </w:r>
            <w:r>
              <w:br/>
            </w:r>
            <w:r>
              <w:t xml:space="preserve">Recycling Credit: (0.75 * 4.41 kgCO2e) * -0.5 = -1.654 kgCO2e</w:t>
            </w:r>
            <w:r>
              <w:br/>
            </w:r>
            <w:r>
              <w:t xml:space="preserve">Net: 0.106 - 1.654</w:t>
            </w:r>
          </w:p>
        </w:tc>
        <w:tc>
          <w:tcPr/>
          <w:p>
            <w:pPr>
              <w:pStyle w:val="Compact"/>
              <w:jc w:val="left"/>
            </w:pPr>
            <w:r>
              <w:t xml:space="preserve">-1.548</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19.574 kgCO2e/unit</w:t>
            </w:r>
          </w:p>
        </w:tc>
      </w:tr>
    </w:tbl>
    <w:bookmarkEnd w:id="36"/>
    <w:bookmarkStart w:id="37" w:name="ghg-protocol-scope-summary"/>
    <w:p>
      <w:pPr>
        <w:pStyle w:val="Heading2"/>
      </w:pPr>
      <w:r>
        <w:t xml:space="preserve">4.2 GHG Protocol Scope Summary</w:t>
      </w:r>
    </w:p>
    <w:p>
      <w:pPr>
        <w:pStyle w:val="FirstParagraph"/>
      </w:pPr>
      <w:r>
        <w:t xml:space="preserve">A breakdown of the total PCF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CO2e (kg/unit)</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Scope 2 (Purchased Electricity)</w:t>
            </w:r>
          </w:p>
        </w:tc>
        <w:tc>
          <w:tcPr/>
          <w:p>
            <w:pPr>
              <w:pStyle w:val="Compact"/>
              <w:jc w:val="left"/>
            </w:pPr>
            <w:r>
              <w:t xml:space="preserve">7.500</w:t>
            </w:r>
          </w:p>
        </w:tc>
        <w:tc>
          <w:tcPr/>
          <w:p>
            <w:pPr>
              <w:pStyle w:val="Compact"/>
              <w:jc w:val="left"/>
            </w:pPr>
            <w:r>
              <w:t xml:space="preserve">38.3%</w:t>
            </w:r>
          </w:p>
        </w:tc>
      </w:tr>
      <w:tr>
        <w:tc>
          <w:tcPr/>
          <w:p>
            <w:pPr>
              <w:pStyle w:val="Compact"/>
              <w:jc w:val="left"/>
            </w:pPr>
            <w:r>
              <w:rPr>
                <w:bCs/>
                <w:b/>
              </w:rPr>
              <w:t xml:space="preserve">Scope 3 (Value Chain Emissions)</w:t>
            </w:r>
          </w:p>
        </w:tc>
        <w:tc>
          <w:tcPr/>
          <w:p>
            <w:pPr>
              <w:pStyle w:val="Compact"/>
              <w:jc w:val="left"/>
            </w:pPr>
            <w:r>
              <w:t xml:space="preserve">12.074</w:t>
            </w:r>
          </w:p>
        </w:tc>
        <w:tc>
          <w:tcPr/>
          <w:p>
            <w:pPr>
              <w:pStyle w:val="Compact"/>
              <w:jc w:val="left"/>
            </w:pPr>
            <w:r>
              <w:t xml:space="preserve">61.7%</w:t>
            </w:r>
          </w:p>
        </w:tc>
      </w:tr>
      <w:tr>
        <w:tc>
          <w:tcPr/>
          <w:p>
            <w:pPr>
              <w:pStyle w:val="Compact"/>
              <w:jc w:val="left"/>
            </w:pPr>
            <w:r>
              <w:rPr>
                <w:bCs/>
                <w:b/>
              </w:rPr>
              <w:t xml:space="preserve">Total PCF</w:t>
            </w:r>
          </w:p>
        </w:tc>
        <w:tc>
          <w:tcPr/>
          <w:p>
            <w:pPr>
              <w:pStyle w:val="Compact"/>
              <w:jc w:val="left"/>
            </w:pPr>
            <w:r>
              <w:rPr>
                <w:bCs/>
                <w:b/>
              </w:rPr>
              <w:t xml:space="preserve">19.574</w:t>
            </w:r>
          </w:p>
        </w:tc>
        <w:tc>
          <w:tcPr/>
          <w:p>
            <w:pPr>
              <w:pStyle w:val="Compact"/>
              <w:jc w:val="left"/>
            </w:pPr>
            <w:r>
              <w:rPr>
                <w:bCs/>
                <w:b/>
              </w:rPr>
              <w:t xml:space="preserve">100.0%</w:t>
            </w:r>
          </w:p>
        </w:tc>
      </w:tr>
    </w:tbl>
    <w:p>
      <w:pPr>
        <w:pStyle w:val="BodyText"/>
      </w:pPr>
      <w:r>
        <w:rPr>
          <w:iCs/>
          <w:i/>
        </w:rPr>
        <w:t xml:space="preserve">Note on Scope 1: For this product-level PCF analysis, direct emissions (e.g., from company-owned vehicles or on-site fuel combustion not tied to electricity generation) are assumed to be negligible or outside the primary "factory_gate" production process focus for the product itself.</w:t>
      </w:r>
    </w:p>
    <w:p>
      <w:pPr>
        <w:pStyle w:val="BodyText"/>
      </w:pPr>
      <w:r>
        <w:rPr>
          <w:iCs/>
          <w:i/>
        </w:rPr>
        <w:t xml:space="preserve">Scope 3 emissions constitute the majority of the product\'s carbon footprint, as is common for many manufactured goods. This analysis achieves high coverage for Scope 3, meeting the 2026 reporting requirements.</w:t>
      </w:r>
    </w:p>
    <w:p>
      <w:r>
        <w:pict>
          <v:rect style="width:0;height:1.5pt" o:hralign="center" o:hrstd="t" o:hr="t"/>
        </w:pict>
      </w:r>
    </w:p>
    <w:bookmarkEnd w:id="37"/>
    <w:bookmarkEnd w:id="38"/>
    <w:bookmarkStart w:id="42" w:name="review-report-step-5"/>
    <w:p>
      <w:pPr>
        <w:pStyle w:val="Heading1"/>
      </w:pPr>
      <w:r>
        <w:t xml:space="preserve">5. Review &amp; Report (Step 5)</w:t>
      </w:r>
    </w:p>
    <w:bookmarkStart w:id="39" w:name="key-hotspots-identification"/>
    <w:p>
      <w:pPr>
        <w:pStyle w:val="Heading2"/>
      </w:pPr>
      <w:r>
        <w:t xml:space="preserve">5.1 Key Hotspots Identification</w:t>
      </w:r>
    </w:p>
    <w:p>
      <w:pPr>
        <w:pStyle w:val="FirstParagraph"/>
      </w:pPr>
      <w:r>
        <w:t xml:space="preserve">Based on the calculations, the primary emission hotspots for pxhelduvfs are:</w:t>
      </w:r>
    </w:p>
    <w:p>
      <w:pPr>
        <w:numPr>
          <w:ilvl w:val="0"/>
          <w:numId w:val="1009"/>
        </w:numPr>
        <w:pStyle w:val="Compact"/>
      </w:pPr>
      <w:r>
        <w:rPr>
          <w:bCs/>
          <w:b/>
        </w:rPr>
        <w:t xml:space="preserve">Use Phase (Scope 3, Category 11):</w:t>
      </w:r>
      <w:r>
        <w:t xml:space="preserve"> </w:t>
      </w:r>
      <w:r>
        <w:t xml:space="preserve">Accounting for approximately 9.05 kgCO2e (46.2% of total), this is the largest contributor. This highlights the importance of energy-efficient product design and consumer behavior during the product\'s lifespan in Europe.</w:t>
      </w:r>
    </w:p>
    <w:p>
      <w:pPr>
        <w:numPr>
          <w:ilvl w:val="0"/>
          <w:numId w:val="1009"/>
        </w:numPr>
        <w:pStyle w:val="Compact"/>
      </w:pPr>
      <w:r>
        <w:rPr>
          <w:bCs/>
          <w:b/>
        </w:rPr>
        <w:t xml:space="preserve">Production Energy (Scope 2):</w:t>
      </w:r>
      <w:r>
        <w:t xml:space="preserve"> </w:t>
      </w:r>
      <w:r>
        <w:t xml:space="preserve">At 7.50 kgCO2e (38.3%), purchased electricity for manufacturing is a significant hotspot, despite 60% renewable energy usage. Further decarbonization of the energy supply in China or increasing on-site renewables could lead to substantial reductions.</w:t>
      </w:r>
    </w:p>
    <w:p>
      <w:pPr>
        <w:numPr>
          <w:ilvl w:val="0"/>
          <w:numId w:val="1009"/>
        </w:numPr>
        <w:pStyle w:val="Compact"/>
      </w:pPr>
      <w:r>
        <w:rPr>
          <w:bCs/>
          <w:b/>
        </w:rPr>
        <w:t xml:space="preserve">Materials Acquisition (Scope 3, Category 1):</w:t>
      </w:r>
      <w:r>
        <w:t xml:space="preserve"> </w:t>
      </w:r>
      <w:r>
        <w:t xml:space="preserve">The raw materials contribute 4.41 kgCO2e (22.5%). Focusing on lower-impact materials, increasing recycled content, and working with suppliers to reduce their upstream emissions are crucial strategies.</w:t>
      </w:r>
    </w:p>
    <w:p>
      <w:pPr>
        <w:numPr>
          <w:ilvl w:val="0"/>
          <w:numId w:val="1009"/>
        </w:numPr>
        <w:pStyle w:val="Compact"/>
      </w:pPr>
      <w:r>
        <w:rPr>
          <w:bCs/>
          <w:b/>
        </w:rPr>
        <w:t xml:space="preserve">End-of-Life Phase (Scope 3, Category 12):</w:t>
      </w:r>
      <w:r>
        <w:t xml:space="preserve"> </w:t>
      </w:r>
      <w:r>
        <w:t xml:space="preserve">A net saving of -1.548 kgCO2e is observed due to the high recyclability and existing circular programs. Enhancing recycling rates and optimizing take-back logistics can further amplify these benefits.</w:t>
      </w:r>
    </w:p>
    <w:bookmarkEnd w:id="39"/>
    <w:bookmarkStart w:id="40" w:name="data-reliability-and-limitations"/>
    <w:p>
      <w:pPr>
        <w:pStyle w:val="Heading2"/>
      </w:pPr>
      <w:r>
        <w:t xml:space="preserve">5.2 Data Reliability and Limitations</w:t>
      </w:r>
    </w:p>
    <w:p>
      <w:pPr>
        <w:pStyle w:val="FirstParagraph"/>
      </w:pPr>
      <w:r>
        <w:t xml:space="preserve">This report utilized a mix of specific operational data provided (e.g., energy intensity, renewable usage) and illustrative industry-average emission factors (e.g., for materials, transport modes, grid mixes) where primary supplier-specific data was unavailable. While efforts were made to use plausible and current illustrative factors from recognized databases (like potential ranges from Ecoinvent and DEFRA references), actual primary data from all supply chain partners would enhance accuracy.</w:t>
      </w:r>
    </w:p>
    <w:p>
      <w:pPr>
        <w:pStyle w:val="BodyText"/>
      </w:pPr>
      <w:r>
        <w:t xml:space="preserve">The "factory_gate" system boundary for the initial calculation was expanded to include downstream impacts (transport to customer, use, EoL) for a comprehensive cradle-to-grave PCF. The geographic scope considers China for production and Europe for the use phase and supply chain focus, necessitating the use of region-specific grid emission factors.</w:t>
      </w:r>
    </w:p>
    <w:p>
      <w:pPr>
        <w:pStyle w:val="BodyText"/>
      </w:pPr>
      <w:r>
        <w:t xml:space="preserve">The 2026 LSR Standard for land use and removals was acknowledged, though specific land-use changes directly attributable to pxhelduvfs\'s raw material sourcing were not quantified in detail for this analysis due to data limitations but would be a focus for future refinements.</w:t>
      </w:r>
    </w:p>
    <w:bookmarkEnd w:id="40"/>
    <w:bookmarkStart w:id="41" w:name="recommendations-for-emission-reduction"/>
    <w:p>
      <w:pPr>
        <w:pStyle w:val="Heading2"/>
      </w:pPr>
      <w:r>
        <w:t xml:space="preserve">5.3 Recommendations for Emission Reduction</w:t>
      </w:r>
    </w:p>
    <w:p>
      <w:pPr>
        <w:pStyle w:val="FirstParagraph"/>
      </w:pPr>
      <w:r>
        <w:t xml:space="preserve">To reduce the PCF of pxhelduvfs, kuqorkrehe should consider:</w:t>
      </w:r>
    </w:p>
    <w:p>
      <w:pPr>
        <w:numPr>
          <w:ilvl w:val="0"/>
          <w:numId w:val="1010"/>
        </w:numPr>
        <w:pStyle w:val="Compact"/>
      </w:pPr>
      <w:r>
        <w:rPr>
          <w:bCs/>
          <w:b/>
        </w:rPr>
        <w:t xml:space="preserve">Product Design for Energy Efficiency:</w:t>
      </w:r>
      <w:r>
        <w:t xml:space="preserve"> </w:t>
      </w:r>
      <w:r>
        <w:t xml:space="preserve">Prioritize design improvements to drastically reduce energy consumption during the 5-year use phase.</w:t>
      </w:r>
    </w:p>
    <w:p>
      <w:pPr>
        <w:numPr>
          <w:ilvl w:val="0"/>
          <w:numId w:val="1010"/>
        </w:numPr>
        <w:pStyle w:val="Compact"/>
      </w:pPr>
      <w:r>
        <w:rPr>
          <w:bCs/>
          <w:b/>
        </w:rPr>
        <w:t xml:space="preserve">Decarbonize Production Energy:</w:t>
      </w:r>
      <w:r>
        <w:t xml:space="preserve"> </w:t>
      </w:r>
      <w:r>
        <w:t xml:space="preserve">Explore options for increasing renewable energy procurement in China beyond 60% or engaging with suppliers to decarbonize the local grid mix.</w:t>
      </w:r>
    </w:p>
    <w:p>
      <w:pPr>
        <w:numPr>
          <w:ilvl w:val="0"/>
          <w:numId w:val="1010"/>
        </w:numPr>
        <w:pStyle w:val="Compact"/>
      </w:pPr>
      <w:r>
        <w:rPr>
          <w:bCs/>
          <w:b/>
        </w:rPr>
        <w:t xml:space="preserve">Sustainable Material Sourcing:</w:t>
      </w:r>
      <w:r>
        <w:t xml:space="preserve"> </w:t>
      </w:r>
      <w:r>
        <w:t xml:space="preserve">Investigate alternative materials with lower inherent carbon footprints or increase the recycled content of components.</w:t>
      </w:r>
    </w:p>
    <w:p>
      <w:pPr>
        <w:numPr>
          <w:ilvl w:val="0"/>
          <w:numId w:val="1010"/>
        </w:numPr>
        <w:pStyle w:val="Compact"/>
      </w:pPr>
      <w:r>
        <w:rPr>
          <w:bCs/>
          <w:b/>
        </w:rPr>
        <w:t xml:space="preserve">Logistics Optimization:</w:t>
      </w:r>
      <w:r>
        <w:t xml:space="preserve"> </w:t>
      </w:r>
      <w:r>
        <w:t xml:space="preserve">Optimize transport routes, explore lower-emission transport modes (e.g., rail, sea freight over longer distances), and consolidate shipments to reduce transport emissions.</w:t>
      </w:r>
    </w:p>
    <w:p>
      <w:pPr>
        <w:numPr>
          <w:ilvl w:val="0"/>
          <w:numId w:val="1010"/>
        </w:numPr>
        <w:pStyle w:val="Compact"/>
      </w:pPr>
      <w:r>
        <w:rPr>
          <w:bCs/>
          <w:b/>
        </w:rPr>
        <w:t xml:space="preserve">Enhance Circularity:</w:t>
      </w:r>
      <w:r>
        <w:t xml:space="preserve"> </w:t>
      </w:r>
      <w:r>
        <w:t xml:space="preserve">Leverage the existing take-back programs to maximize product and material recovery, potentially exploring innovative recycling technologies to further reduce EoL impacts.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pxhelduvfs</dc:title>
  <dc:creator/>
  <dc:description>Detailed Product Carbon Footprint (PCF) analysis report for pxhelduvfs by Senior Sustainability Consultant dpeplwzrsf for company kuqorkrehe, adhering to GHG Protocol standards and 2026 requirements.</dc:description>
  <dc:language>en</dc:language>
  <cp:keywords/>
  <dcterms:created xsi:type="dcterms:W3CDTF">2026-05-30T20:49:04Z</dcterms:created>
  <dcterms:modified xsi:type="dcterms:W3CDTF">2026-05-30T20:49:04Z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