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pvzhkuqvil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pvzhkuqvil</w:t>
      </w:r>
    </w:p>
    <w:p>
      <w:pPr>
        <w:pStyle w:val="BodyText"/>
      </w:pPr>
      <w:r>
        <w:rPr>
          <w:bCs/>
          <w:b/>
        </w:rPr>
        <w:t xml:space="preserve">Company Name:</w:t>
      </w:r>
      <w:r>
        <w:t xml:space="preserve"> </w:t>
      </w:r>
      <w:r>
        <w:t xml:space="preserve">jqzhulfmkj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gfzxztywlj</w:t>
      </w:r>
    </w:p>
    <w:p>
      <w:pPr>
        <w:pStyle w:val="BodyText"/>
      </w:pPr>
      <w:r>
        <w:t xml:space="preserve">Disclaimer: This report is generated based on available data and industry standards, incorporating specific parameters provided.</w:t>
      </w:r>
      <w:r>
        <w:t xml:space="preserve"> </w:t>
      </w:r>
      <w:r>
        <w:t xml:space="preserve">Actual numerical calculations require the specific input values represented by the parameters mentioned herein.</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23,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pvzhkuqvil</w:t>
      </w:r>
      <w:r>
        <w:t xml:space="preserve">, manufactured by</w:t>
      </w:r>
      <w:r>
        <w:t xml:space="preserve"> </w:t>
      </w:r>
      <w:r>
        <w:rPr>
          <w:bCs/>
          <w:b/>
        </w:rPr>
        <w:t xml:space="preserve">jqzhulfmkj</w:t>
      </w:r>
      <w:r>
        <w:t xml:space="preserve">. Conducted by Senior Sustainability Consultant</w:t>
      </w:r>
      <w:r>
        <w:t xml:space="preserve"> </w:t>
      </w:r>
      <w:r>
        <w:rPr>
          <w:bCs/>
          <w:b/>
        </w:rPr>
        <w:t xml:space="preserve">gfzxztywlj</w:t>
      </w:r>
      <w:r>
        <w:t xml:space="preserve">, this analysis adheres strictly to the GHG Protocol, including the 2026 Land Sector and Removals (LSR) Standard update, and aims for at least 95% Scope 3 coverage. The assessment covers the lifecycle from raw material acquisition (cradle) to the factory gate, extending through the use phase and end-of-life scenarios. Due to the placeholder nature of some input parameters, the calculations within this report are illustrative, outlining the methodology and the impact areas rather than providing a precise numerical total. A comprehensive quantitative PCF would require the substitution of the named parameters with their specific numerical values.</w:t>
      </w:r>
    </w:p>
    <w:p>
      <w:r>
        <w:pict>
          <v:rect style="width:0;height:1.5pt" o:hralign="center" o:hrstd="t" o:hr="t"/>
        </w:pict>
      </w:r>
    </w:p>
    <w:bookmarkEnd w:id="22"/>
    <w:bookmarkStart w:id="28"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pvzhkuqvil</w:t>
      </w:r>
      <w:r>
        <w:t xml:space="preserve">. This unit serves as the reference basis for quantifying all inputs and outputs throughout the product\'s lifecycle and enables comparison with alternative products or services fulfilling the same function.</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This \'cradle-to-gate\' approach specifically encompasses emissions from raw material extraction, processing, transportation to the manufacturing facility, and all manufacturing processes up to the point where the finished product leaves the factory. Additionally, in line with the comprehensive requirements, this report extends beyond the factory gate to include the Use Phase and End-of-Life (EoL) scenarios, providing a more holistic \'cradle-to-grave\' perspective on the product\'s environmental impact, despite the primary system boundary stated as \'factory_gate\' for core production. This extended boundary ensures a more complete Scope 3 assessment.</w:t>
      </w:r>
    </w:p>
    <w:bookmarkEnd w:id="24"/>
    <w:bookmarkStart w:id="25" w:name="geographic-scope"/>
    <w:p>
      <w:pPr>
        <w:pStyle w:val="Heading3"/>
      </w:pPr>
      <w:r>
        <w:t xml:space="preserve">1.3 Geographic Scope</w:t>
      </w:r>
    </w:p>
    <w:p>
      <w:pPr>
        <w:pStyle w:val="FirstParagraph"/>
      </w:pPr>
      <w:r>
        <w:t xml:space="preserve">The geographic scope of this PCF analysis focuses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dual focus acknowledges manufacturing operations in China while considering the significant environmental implications of a supply chain that primarily sources or transports materials to and from Europe.</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This standard provides a comprehensive and globally recognized framework for measuring and managing greenhouse gas emissions. Emissions are categorized into Scope 1 (direct emissions), Scope 2 (indirect emissions from purchased energy), and Scope 3 (all other indirect emissions across the value chain).</w:t>
      </w:r>
    </w:p>
    <w:p>
      <w:pPr>
        <w:pStyle w:val="BodyText"/>
      </w:pPr>
      <w:r>
        <w:rPr>
          <w:bCs/>
          <w:b/>
        </w:rPr>
        <w:t xml:space="preserve">2026 Land Sector and Removals (LSR) Standard Update:</w:t>
      </w:r>
      <w:r>
        <w:t xml:space="preserve"> </w:t>
      </w:r>
      <w:r>
        <w:t xml:space="preserve">In compliance with the latest GHG Protocol updates, this analysis considers the Land Sector and Removals (LSR) Standard. The GHG Protocol released version 1.0 of the Land Sector and Removals Standard on January 30, 2026, which takes effect on January 1, 2027. This standard provides requirements for accounting for land sector emissions (such as land use change, land management, and biogenic products) and CO2 removals, closing a crucial gap in GHG accounting. While specific land-use change data for</w:t>
      </w:r>
      <w:r>
        <w:t xml:space="preserve"> </w:t>
      </w:r>
      <w:r>
        <w:rPr>
          <w:bCs/>
          <w:b/>
        </w:rPr>
        <w:t xml:space="preserve">pvzhkuqvil</w:t>
      </w:r>
      <w:r>
        <w:t xml:space="preserve"> </w:t>
      </w:r>
      <w:r>
        <w:t xml:space="preserve">is not available as a direct input, the framework for assessing and reporting potential carbon removals or emissions associated with land use changes in the supply chain is acknowledged and would be integrated should relevant data become available. This ensures preparedness for future, more granular assessments.</w:t>
      </w:r>
    </w:p>
    <w:bookmarkEnd w:id="26"/>
    <w:bookmarkStart w:id="27" w:name="allocation"/>
    <w:p>
      <w:pPr>
        <w:pStyle w:val="Heading3"/>
      </w:pPr>
      <w:r>
        <w:t xml:space="preserve">1.5 Allocation</w:t>
      </w:r>
    </w:p>
    <w:p>
      <w:pPr>
        <w:pStyle w:val="FirstParagraph"/>
      </w:pPr>
      <w:r>
        <w:t xml:space="preserve">Emissions are allocated directly to the functional unit (1.0 unit of pvzhkuqvil). In cases where shared processes or facilities are involved, standard allocation rules based on physical parameters (e.g., mass, energy consumption) or economic value would be applied to ensure a fair distribution of environmental burdens. For this specific product PCF, a direct allocation method is assumed for all identifiable inputs and outputs.</w:t>
      </w:r>
    </w:p>
    <w:p>
      <w:r>
        <w:pict>
          <v:rect style="width:0;height:1.5pt" o:hralign="center" o:hrstd="t" o:hr="t"/>
        </w:pict>
      </w:r>
    </w:p>
    <w:bookmarkEnd w:id="27"/>
    <w:bookmarkEnd w:id="28"/>
    <w:bookmarkStart w:id="35" w:name="Xdc7d71688751a01fbfb61430bf1a99efe08331e"/>
    <w:p>
      <w:pPr>
        <w:pStyle w:val="Heading2"/>
      </w:pPr>
      <w:r>
        <w:t xml:space="preserve">2. Mapping the Lifecycle and Inventory Stages (LCI)</w:t>
      </w:r>
    </w:p>
    <w:p>
      <w:pPr>
        <w:pStyle w:val="FirstParagraph"/>
      </w:pPr>
      <w:r>
        <w:t xml:space="preserve">The lifecycle of</w:t>
      </w:r>
      <w:r>
        <w:t xml:space="preserve"> </w:t>
      </w:r>
      <w:r>
        <w:rPr>
          <w:bCs/>
          <w:b/>
        </w:rPr>
        <w:t xml:space="preserve">pvzhkuqvil</w:t>
      </w:r>
      <w:r>
        <w:t xml:space="preserve"> </w:t>
      </w:r>
      <w:r>
        <w:t xml:space="preserve">is broken down into distinct stages to comprehensively capture all relevant greenhouse gas emissions. This section outlines the key stages and the types of data required.</w:t>
      </w:r>
    </w:p>
    <w:bookmarkStart w:id="30" w:name="X19e7091be73dabe746ec844a494e50a621d9384"/>
    <w:p>
      <w:pPr>
        <w:pStyle w:val="Heading3"/>
      </w:pPr>
      <w:r>
        <w:t xml:space="preserve">2.1 Raw Material Acquisition and Pre-processing</w:t>
      </w:r>
    </w:p>
    <w:p>
      <w:pPr>
        <w:pStyle w:val="FirstParagraph"/>
      </w:pPr>
      <w:r>
        <w:t xml:space="preserve">This stage accounts for the extraction, cultivation, and initial processing of all raw materials required for</w:t>
      </w:r>
      <w:r>
        <w:t xml:space="preserve"> </w:t>
      </w:r>
      <w:r>
        <w:rPr>
          <w:bCs/>
          <w:b/>
        </w:rPr>
        <w:t xml:space="preserve">pvzhkuqvil</w:t>
      </w:r>
      <w:r>
        <w:t xml:space="preserve">. Given the</w:t>
      </w:r>
      <w:r>
        <w:t xml:space="preserve"> </w:t>
      </w:r>
      <w:r>
        <w:rPr>
          <w:bCs/>
          <w:b/>
        </w:rPr>
        <w:t xml:space="preserve">Europe Focused Supply Chain</w:t>
      </w:r>
      <w:r>
        <w:t xml:space="preserve"> </w:t>
      </w:r>
      <w:r>
        <w:t xml:space="preserve">and</w:t>
      </w:r>
      <w:r>
        <w:t xml:space="preserve"> </w:t>
      </w:r>
      <w:r>
        <w:rPr>
          <w:bCs/>
          <w:b/>
        </w:rPr>
        <w:t xml:space="preserve">Final Production Country: China</w:t>
      </w:r>
      <w:r>
        <w:t xml:space="preserve">, this involves diverse material sources and processing locations.</w:t>
      </w:r>
    </w:p>
    <w:bookmarkStart w:id="29" w:name="Xc930e7cc8541e0c219a298f56e5bdf1adf24bac"/>
    <w:p>
      <w:pPr>
        <w:pStyle w:val="Heading4"/>
      </w:pPr>
      <w:r>
        <w:t xml:space="preserve">Detailed Bill of Materials (BOM) Integration:</w:t>
      </w:r>
    </w:p>
    <w:p>
      <w:pPr>
        <w:pStyle w:val="FirstParagraph"/>
      </w:pPr>
      <w:r>
        <w:t xml:space="preserve">The analysis incorporates the</w:t>
      </w:r>
      <w:r>
        <w:t xml:space="preserve"> </w:t>
      </w:r>
      <w:r>
        <w:rPr>
          <w:bCs/>
          <w:b/>
        </w:rPr>
        <w:t xml:space="preserve">Detailed Bill of Materials (BOM): erlqeeln</w:t>
      </w:r>
      <w:r>
        <w:t xml:space="preserve"> </w:t>
      </w:r>
      <w:r>
        <w:t xml:space="preserve">for high-accuracy material impact calculation. The BOM is structured to provide specific carbon contributions for each item. For illustrative purposes, a generic example of how this BOM would be structured and its impact calculated is shown below, using representative emission factors from sources like Ecoinvent where applicable:</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10.0 kg CO2e/kg</w:t>
            </w:r>
          </w:p>
        </w:tc>
        <w:tc>
          <w:tcPr/>
          <w:p>
            <w:pPr>
              <w:pStyle w:val="Compact"/>
              <w:jc w:val="left"/>
            </w:pPr>
            <w:r>
              <w:t xml:space="preserve">5.0</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3.5 kg CO2e/kg (for ABS plastic)</w:t>
            </w:r>
          </w:p>
        </w:tc>
        <w:tc>
          <w:tcPr/>
          <w:p>
            <w:pPr>
              <w:pStyle w:val="Compact"/>
              <w:jc w:val="left"/>
            </w:pPr>
            <w:r>
              <w:t xml:space="preserve">0.7</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15.0 kg CO2e/unit (illustrative)</w:t>
            </w:r>
          </w:p>
        </w:tc>
        <w:tc>
          <w:tcPr/>
          <w:p>
            <w:pPr>
              <w:pStyle w:val="Compact"/>
              <w:jc w:val="left"/>
            </w:pPr>
            <w:r>
              <w:t xml:space="preserve">1.5</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 kg</w:t>
            </w:r>
          </w:p>
        </w:tc>
        <w:tc>
          <w:tcPr/>
          <w:p>
            <w:pPr>
              <w:pStyle w:val="Compact"/>
              <w:jc w:val="left"/>
            </w:pPr>
            <w:r>
              <w:t xml:space="preserve">4.0 kg CO2e/kg (illustrative)</w:t>
            </w:r>
          </w:p>
        </w:tc>
        <w:tc>
          <w:tcPr/>
          <w:p>
            <w:pPr>
              <w:pStyle w:val="Compact"/>
              <w:jc w:val="left"/>
            </w:pPr>
            <w:r>
              <w:t xml:space="preserve">0.2</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Pulping</w:t>
            </w:r>
          </w:p>
        </w:tc>
        <w:tc>
          <w:tcPr/>
          <w:p>
            <w:pPr>
              <w:pStyle w:val="Compact"/>
              <w:jc w:val="left"/>
            </w:pPr>
            <w:r>
              <w:t xml:space="preserve">0.1 kg</w:t>
            </w:r>
          </w:p>
        </w:tc>
        <w:tc>
          <w:tcPr/>
          <w:p>
            <w:pPr>
              <w:pStyle w:val="Compact"/>
              <w:jc w:val="left"/>
            </w:pPr>
            <w:r>
              <w:t xml:space="preserve">1.5 kg CO2e/kg (illustrative)</w:t>
            </w:r>
          </w:p>
        </w:tc>
        <w:tc>
          <w:tcPr/>
          <w:p>
            <w:pPr>
              <w:pStyle w:val="Compact"/>
              <w:jc w:val="left"/>
            </w:pPr>
            <w:r>
              <w:t xml:space="preserve">0.15</w:t>
            </w:r>
          </w:p>
        </w:tc>
      </w:tr>
      <w:tr>
        <w:tc>
          <w:tcPr>
            <w:gridSpan w:val="6"/>
          </w:tcPr>
          <w:p>
            <w:pPr>
              <w:pStyle w:val="Compact"/>
              <w:jc w:val="left"/>
            </w:pPr>
            <w:r>
              <w:rPr>
                <w:bCs/>
                <w:b/>
              </w:rPr>
              <w:t xml:space="preserve">Total Illustrative Material Carbon Footprint</w:t>
            </w:r>
          </w:p>
        </w:tc>
        <w:tc>
          <w:tcPr/>
          <w:p>
            <w:pPr>
              <w:pStyle w:val="Compact"/>
              <w:jc w:val="left"/>
            </w:pPr>
            <w:r>
              <w:rPr>
                <w:bCs/>
                <w:b/>
              </w:rPr>
              <w:t xml:space="preserve">7.55</w:t>
            </w:r>
          </w:p>
        </w:tc>
      </w:tr>
    </w:tbl>
    <w:p>
      <w:pPr>
        <w:pStyle w:val="BodyText"/>
      </w:pPr>
      <w:r>
        <w:t xml:space="preserve">Each component listed within the</w:t>
      </w:r>
      <w:r>
        <w:t xml:space="preserve"> </w:t>
      </w:r>
      <w:r>
        <w:rPr>
          <w:bCs/>
          <w:b/>
        </w:rPr>
        <w:t xml:space="preserve">erlqeeln</w:t>
      </w:r>
      <w:r>
        <w:t xml:space="preserve"> </w:t>
      </w:r>
      <w:r>
        <w:t xml:space="preserve">BOM, with its associated "Total Carbon" value (when provided), directly contributes to the upstream Scope 3 emissions (Category 1: Purchased Goods and Services). In the absence of specific numerical data for "erlqeeln", these values are placeholder examples demonstrating the calculation method.</w:t>
      </w:r>
    </w:p>
    <w:bookmarkEnd w:id="29"/>
    <w:bookmarkEnd w:id="30"/>
    <w:bookmarkStart w:id="31" w:name="manufacturingproduction"/>
    <w:p>
      <w:pPr>
        <w:pStyle w:val="Heading3"/>
      </w:pPr>
      <w:r>
        <w:t xml:space="preserve">2.2 Manufacturing/Production</w:t>
      </w:r>
    </w:p>
    <w:p>
      <w:pPr>
        <w:pStyle w:val="FirstParagraph"/>
      </w:pPr>
      <w:r>
        <w:t xml:space="preserve">This stage covers all processes at the manufacturing facility in China, including energy consumption, direct emissions from processes (if any), and waste generation.</w:t>
      </w:r>
    </w:p>
    <w:p>
      <w:pPr>
        <w:numPr>
          <w:ilvl w:val="0"/>
          <w:numId w:val="1001"/>
        </w:numPr>
        <w:pStyle w:val="Compact"/>
      </w:pPr>
      <w:r>
        <w:rPr>
          <w:bCs/>
          <w:b/>
        </w:rPr>
        <w:t xml:space="preserve">Energy Intensity:</w:t>
      </w:r>
      <w:r>
        <w:t xml:space="preserve"> </w:t>
      </w:r>
      <w:r>
        <w:t xml:space="preserve">The energy consumed per unit of</w:t>
      </w:r>
      <w:r>
        <w:t xml:space="preserve"> </w:t>
      </w:r>
      <w:r>
        <w:rPr>
          <w:bCs/>
          <w:b/>
        </w:rPr>
        <w:t xml:space="preserve">pvzhkuqvil</w:t>
      </w:r>
      <w:r>
        <w:t xml:space="preserve"> </w:t>
      </w:r>
      <w:r>
        <w:t xml:space="preserve">is specified as</w:t>
      </w:r>
      <w:r>
        <w:t xml:space="preserve"> </w:t>
      </w:r>
      <w:r>
        <w:rPr>
          <w:bCs/>
          <w:b/>
        </w:rPr>
        <w:t xml:space="preserve">wrifdlyvwx kWh/unit</w:t>
      </w:r>
      <w:r>
        <w:t xml:space="preserve">.</w:t>
      </w:r>
    </w:p>
    <w:p>
      <w:pPr>
        <w:numPr>
          <w:ilvl w:val="0"/>
          <w:numId w:val="1001"/>
        </w:numPr>
        <w:pStyle w:val="Compact"/>
      </w:pPr>
      <w:r>
        <w:rPr>
          <w:bCs/>
          <w:b/>
        </w:rPr>
        <w:t xml:space="preserve">Renewable Energy Usage:</w:t>
      </w:r>
      <w:r>
        <w:t xml:space="preserve"> </w:t>
      </w:r>
      <w:r>
        <w:t xml:space="preserve">A significant portion of the purchased electricity, specifically</w:t>
      </w:r>
      <w:r>
        <w:t xml:space="preserve"> </w:t>
      </w:r>
      <w:r>
        <w:rPr>
          <w:bCs/>
          <w:b/>
        </w:rPr>
        <w:t xml:space="preserve">totgiyzqrq</w:t>
      </w:r>
      <w:r>
        <w:t xml:space="preserve">, is sourced from renewable energy. This directly influences the Scope 2 emissions, reducing the carbon intensity of the manufacturing process.</w:t>
      </w:r>
    </w:p>
    <w:p>
      <w:pPr>
        <w:numPr>
          <w:ilvl w:val="0"/>
          <w:numId w:val="1001"/>
        </w:numPr>
        <w:pStyle w:val="Compact"/>
      </w:pPr>
      <w:r>
        <w:rPr>
          <w:bCs/>
          <w:b/>
        </w:rPr>
        <w:t xml:space="preserve">Process Emissions:</w:t>
      </w:r>
      <w:r>
        <w:t xml:space="preserve"> </w:t>
      </w:r>
      <w:r>
        <w:t xml:space="preserve">Any direct emissions from industrial processes or on-site fuel combustion (Scope 1) at the factory gate would be accounted for here, but are assumed to be minimal unless specifically detailed process emissions are identified.</w:t>
      </w:r>
    </w:p>
    <w:bookmarkEnd w:id="31"/>
    <w:bookmarkStart w:id="32" w:name="transportation-upstream-downstream"/>
    <w:p>
      <w:pPr>
        <w:pStyle w:val="Heading3"/>
      </w:pPr>
      <w:r>
        <w:t xml:space="preserve">2.3 Transportation (Upstream &amp; Downstream)</w:t>
      </w:r>
    </w:p>
    <w:p>
      <w:pPr>
        <w:pStyle w:val="FirstParagraph"/>
      </w:pPr>
      <w:r>
        <w:t xml:space="preserve">Logistics are a crucial part of the supply chain, particularly with a</w:t>
      </w:r>
      <w:r>
        <w:t xml:space="preserve"> </w:t>
      </w:r>
      <w:r>
        <w:rPr>
          <w:bCs/>
          <w:b/>
        </w:rPr>
        <w:t xml:space="preserve">Europe Focused Supply Chain</w:t>
      </w:r>
      <w:r>
        <w:t xml:space="preserve"> </w:t>
      </w:r>
      <w:r>
        <w:t xml:space="preserve">and production in China.</w:t>
      </w:r>
    </w:p>
    <w:p>
      <w:pPr>
        <w:numPr>
          <w:ilvl w:val="0"/>
          <w:numId w:val="1002"/>
        </w:numPr>
        <w:pStyle w:val="Compact"/>
      </w:pPr>
      <w:r>
        <w:rPr>
          <w:bCs/>
          <w:b/>
        </w:rPr>
        <w:t xml:space="preserve">Raw Material Transport (Upstream - Scope 3, Category 4):</w:t>
      </w:r>
      <w:r>
        <w:t xml:space="preserve"> </w:t>
      </w:r>
      <w:r>
        <w:t xml:space="preserve">Transport of materials from suppliers (especially within the Europe focused supply chain) to the manufacturing site in China. The primary transport mode for these raw materials is assumed to be</w:t>
      </w:r>
      <w:r>
        <w:t xml:space="preserve"> </w:t>
      </w:r>
      <w:r>
        <w:rPr>
          <w:bCs/>
          <w:b/>
        </w:rPr>
        <w:t xml:space="preserve">Select Mode</w:t>
      </w:r>
      <w:r>
        <w:t xml:space="preserve"> </w:t>
      </w:r>
      <w:r>
        <w:t xml:space="preserve">over a distance of</w:t>
      </w:r>
      <w:r>
        <w:t xml:space="preserve"> </w:t>
      </w:r>
      <w:r>
        <w:rPr>
          <w:bCs/>
          <w:b/>
        </w:rPr>
        <w:t xml:space="preserve">drfhgowszv</w:t>
      </w:r>
      <w:r>
        <w:t xml:space="preserve">.</w:t>
      </w:r>
    </w:p>
    <w:p>
      <w:pPr>
        <w:numPr>
          <w:ilvl w:val="0"/>
          <w:numId w:val="1002"/>
        </w:numPr>
        <w:pStyle w:val="Compact"/>
      </w:pPr>
      <w:r>
        <w:rPr>
          <w:bCs/>
          <w:b/>
        </w:rPr>
        <w:t xml:space="preserve">Finished Product Transport (Downstream - Scope 3, Category 9):</w:t>
      </w:r>
      <w:r>
        <w:t xml:space="preserve"> </w:t>
      </w:r>
      <w:r>
        <w:t xml:space="preserve">Transport of the final product from the factory gate in China to distribution centers or end-users. This includes</w:t>
      </w:r>
      <w:r>
        <w:t xml:space="preserve"> </w:t>
      </w:r>
      <w:r>
        <w:rPr>
          <w:bCs/>
          <w:b/>
        </w:rPr>
        <w:t xml:space="preserve">Last-Mile Delivery Channel: Delivery Type</w:t>
      </w:r>
      <w:r>
        <w:t xml:space="preserve">.</w:t>
      </w:r>
    </w:p>
    <w:bookmarkEnd w:id="32"/>
    <w:bookmarkStart w:id="33" w:name="use-phase"/>
    <w:p>
      <w:pPr>
        <w:pStyle w:val="Heading3"/>
      </w:pPr>
      <w:r>
        <w:t xml:space="preserve">2.4 Use Phase</w:t>
      </w:r>
    </w:p>
    <w:p>
      <w:pPr>
        <w:pStyle w:val="FirstParagraph"/>
      </w:pPr>
      <w:r>
        <w:t xml:space="preserve">The emissions generated during the product\'s operational life by the end-user (Scope 3, Category 11: Use of Sold Products).</w:t>
      </w:r>
    </w:p>
    <w:p>
      <w:pPr>
        <w:numPr>
          <w:ilvl w:val="0"/>
          <w:numId w:val="1003"/>
        </w:numPr>
        <w:pStyle w:val="Compact"/>
      </w:pPr>
      <w:r>
        <w:rPr>
          <w:bCs/>
          <w:b/>
        </w:rPr>
        <w:t xml:space="preserve">Product Lifespan:</w:t>
      </w:r>
      <w:r>
        <w:t xml:space="preserve"> </w:t>
      </w:r>
      <w:r>
        <w:t xml:space="preserve">The expected operational life of</w:t>
      </w:r>
      <w:r>
        <w:t xml:space="preserve"> </w:t>
      </w:r>
      <w:r>
        <w:rPr>
          <w:bCs/>
          <w:b/>
        </w:rPr>
        <w:t xml:space="preserve">pvzhkuqvil</w:t>
      </w:r>
      <w:r>
        <w:t xml:space="preserve"> </w:t>
      </w:r>
      <w:r>
        <w:t xml:space="preserve">is</w:t>
      </w:r>
      <w:r>
        <w:t xml:space="preserve"> </w:t>
      </w:r>
      <w:r>
        <w:rPr>
          <w:bCs/>
          <w:b/>
        </w:rPr>
        <w:t xml:space="preserve">tqjwfpylnx</w:t>
      </w:r>
      <w:r>
        <w:t xml:space="preserve">.</w:t>
      </w:r>
    </w:p>
    <w:p>
      <w:pPr>
        <w:numPr>
          <w:ilvl w:val="0"/>
          <w:numId w:val="1003"/>
        </w:numPr>
        <w:pStyle w:val="Compact"/>
      </w:pPr>
      <w:r>
        <w:rPr>
          <w:bCs/>
          <w:b/>
        </w:rPr>
        <w:t xml:space="preserve">Energy Consumption in Use:</w:t>
      </w:r>
      <w:r>
        <w:t xml:space="preserve"> </w:t>
      </w:r>
      <w:r>
        <w:t xml:space="preserve">The energy consumed by the product during its lifespan is</w:t>
      </w:r>
      <w:r>
        <w:t xml:space="preserve"> </w:t>
      </w:r>
      <w:r>
        <w:rPr>
          <w:bCs/>
          <w:b/>
        </w:rPr>
        <w:t xml:space="preserve">vikgfkiymn</w:t>
      </w:r>
      <w:r>
        <w:t xml:space="preserve">. This is a significant contributor to downstream Scope 3 emissions.</w:t>
      </w:r>
    </w:p>
    <w:bookmarkEnd w:id="33"/>
    <w:bookmarkStart w:id="34" w:name="end-of-life-eol"/>
    <w:p>
      <w:pPr>
        <w:pStyle w:val="Heading3"/>
      </w:pPr>
      <w:r>
        <w:t xml:space="preserve">2.5 End-of-Life (EoL)</w:t>
      </w:r>
    </w:p>
    <w:p>
      <w:pPr>
        <w:pStyle w:val="FirstParagraph"/>
      </w:pPr>
      <w:r>
        <w:t xml:space="preserve">This stage addresses the emissions and potential credits associated with the disposal or recycling of the product at the end of its life (Scope 3, Category 12: End-of-Life Treatment of Sold Products).</w:t>
      </w:r>
    </w:p>
    <w:p>
      <w:pPr>
        <w:numPr>
          <w:ilvl w:val="0"/>
          <w:numId w:val="1004"/>
        </w:numPr>
        <w:pStyle w:val="Compact"/>
      </w:pPr>
      <w:r>
        <w:rPr>
          <w:bCs/>
          <w:b/>
        </w:rPr>
        <w:t xml:space="preserve">Recyclability Percentage:</w:t>
      </w:r>
      <w:r>
        <w:t xml:space="preserve"> </w:t>
      </w:r>
      <w:r>
        <w:rPr>
          <w:bCs/>
          <w:b/>
        </w:rPr>
        <w:t xml:space="preserve">dlertnrosx</w:t>
      </w:r>
      <w:r>
        <w:t xml:space="preserve"> </w:t>
      </w:r>
      <w:r>
        <w:t xml:space="preserve">of the product is recyclable. This offers potential carbon credits if the recycled materials displace virgin material production.</w:t>
      </w:r>
    </w:p>
    <w:p>
      <w:pPr>
        <w:numPr>
          <w:ilvl w:val="0"/>
          <w:numId w:val="1004"/>
        </w:numPr>
        <w:pStyle w:val="Compact"/>
      </w:pPr>
      <w:r>
        <w:rPr>
          <w:bCs/>
          <w:b/>
        </w:rPr>
        <w:t xml:space="preserve">Circular/Take-back Programs:</w:t>
      </w:r>
      <w:r>
        <w:t xml:space="preserve"> </w:t>
      </w:r>
      <w:r>
        <w:t xml:space="preserve">The existence of</w:t>
      </w:r>
      <w:r>
        <w:t xml:space="preserve"> </w:t>
      </w:r>
      <w:r>
        <w:rPr>
          <w:bCs/>
          <w:b/>
        </w:rPr>
        <w:t xml:space="preserve">hopshpxwso</w:t>
      </w:r>
      <w:r>
        <w:t xml:space="preserve"> </w:t>
      </w:r>
      <w:r>
        <w:t xml:space="preserve">programs indicates efforts to recover and reprocess materials, further contributing to circular economy impacts and potential emission reductions.</w:t>
      </w:r>
    </w:p>
    <w:p>
      <w:r>
        <w:pict>
          <v:rect style="width:0;height:1.5pt" o:hralign="center" o:hrstd="t" o:hr="t"/>
        </w:pict>
      </w:r>
    </w:p>
    <w:bookmarkEnd w:id="34"/>
    <w:bookmarkEnd w:id="35"/>
    <w:bookmarkStart w:id="38" w:name="X01a6f2215373ff75984ae406a4a39df3489b45e"/>
    <w:p>
      <w:pPr>
        <w:pStyle w:val="Heading2"/>
      </w:pPr>
      <w:r>
        <w:t xml:space="preserve">3. Data Collection (Primary &amp; Secondary Data Points)</w:t>
      </w:r>
    </w:p>
    <w:p>
      <w:pPr>
        <w:pStyle w:val="FirstParagraph"/>
      </w:pPr>
      <w:r>
        <w:t xml:space="preserve">Data collection forms the backbone of a robust PCF analysis. Both primary and secondary data sources are leveraged to ensure accuracy and comprehensive coverage.</w:t>
      </w:r>
    </w:p>
    <w:bookmarkStart w:id="36" w:name="primary-data"/>
    <w:p>
      <w:pPr>
        <w:pStyle w:val="Heading3"/>
      </w:pPr>
      <w:r>
        <w:t xml:space="preserve">3.1 Primary Data</w:t>
      </w:r>
    </w:p>
    <w:p>
      <w:pPr>
        <w:pStyle w:val="FirstParagraph"/>
      </w:pPr>
      <w:r>
        <w:t xml:space="preserve">Directly obtained from</w:t>
      </w:r>
      <w:r>
        <w:t xml:space="preserve"> </w:t>
      </w:r>
      <w:r>
        <w:rPr>
          <w:bCs/>
          <w:b/>
        </w:rPr>
        <w:t xml:space="preserve">jqzhulfmkj</w:t>
      </w:r>
      <w:r>
        <w:t xml:space="preserve"> </w:t>
      </w:r>
      <w:r>
        <w:t xml:space="preserve">and its supply chain, these data points offer the most specific insights into the product\'s lifecycle:</w:t>
      </w:r>
    </w:p>
    <w:p>
      <w:pPr>
        <w:numPr>
          <w:ilvl w:val="0"/>
          <w:numId w:val="1005"/>
        </w:numPr>
        <w:pStyle w:val="Compact"/>
      </w:pPr>
      <w:r>
        <w:rPr>
          <w:bCs/>
          <w:b/>
        </w:rPr>
        <w:t xml:space="preserve">Detailed Bill of Materials (BOM):</w:t>
      </w:r>
      <w:r>
        <w:t xml:space="preserve"> </w:t>
      </w:r>
      <w:r>
        <w:rPr>
          <w:bCs/>
          <w:b/>
        </w:rPr>
        <w:t xml:space="preserve">erlqeeln</w:t>
      </w:r>
      <w:r>
        <w:t xml:space="preserve"> </w:t>
      </w:r>
      <w:r>
        <w:t xml:space="preserve">provides specific quantities and pre-calculated carbon footprints for individual components.</w:t>
      </w:r>
    </w:p>
    <w:p>
      <w:pPr>
        <w:numPr>
          <w:ilvl w:val="0"/>
          <w:numId w:val="1005"/>
        </w:numPr>
        <w:pStyle w:val="Compact"/>
      </w:pPr>
      <w:r>
        <w:rPr>
          <w:bCs/>
          <w:b/>
        </w:rPr>
        <w:t xml:space="preserve">Manufacturing Energy Consumption:</w:t>
      </w:r>
      <w:r>
        <w:t xml:space="preserve"> </w:t>
      </w:r>
      <w:r>
        <w:rPr>
          <w:bCs/>
          <w:b/>
        </w:rPr>
        <w:t xml:space="preserve">wrifdlyvwx kWh/unit</w:t>
      </w:r>
      <w:r>
        <w:t xml:space="preserve"> </w:t>
      </w:r>
      <w:r>
        <w:t xml:space="preserve">for</w:t>
      </w:r>
      <w:r>
        <w:t xml:space="preserve"> </w:t>
      </w:r>
      <w:r>
        <w:rPr>
          <w:bCs/>
          <w:b/>
        </w:rPr>
        <w:t xml:space="preserve">pvzhkuqvil</w:t>
      </w:r>
      <w:r>
        <w:t xml:space="preserve">.</w:t>
      </w:r>
    </w:p>
    <w:p>
      <w:pPr>
        <w:numPr>
          <w:ilvl w:val="0"/>
          <w:numId w:val="1005"/>
        </w:numPr>
        <w:pStyle w:val="Compact"/>
      </w:pPr>
      <w:r>
        <w:rPr>
          <w:bCs/>
          <w:b/>
        </w:rPr>
        <w:t xml:space="preserve">Renewable Energy Procurement:</w:t>
      </w:r>
      <w:r>
        <w:t xml:space="preserve"> </w:t>
      </w:r>
      <w:r>
        <w:t xml:space="preserve">The percentage</w:t>
      </w:r>
      <w:r>
        <w:t xml:space="preserve"> </w:t>
      </w:r>
      <w:r>
        <w:rPr>
          <w:bCs/>
          <w:b/>
        </w:rPr>
        <w:t xml:space="preserve">totgiyzqrq</w:t>
      </w:r>
      <w:r>
        <w:t xml:space="preserve"> </w:t>
      </w:r>
      <w:r>
        <w:t xml:space="preserve">of renewable energy used in manufacturing.</w:t>
      </w:r>
    </w:p>
    <w:p>
      <w:pPr>
        <w:numPr>
          <w:ilvl w:val="0"/>
          <w:numId w:val="1005"/>
        </w:numPr>
        <w:pStyle w:val="Compact"/>
      </w:pPr>
      <w:r>
        <w:rPr>
          <w:bCs/>
          <w:b/>
        </w:rPr>
        <w:t xml:space="preserve">Product Lifespan:</w:t>
      </w:r>
      <w:r>
        <w:t xml:space="preserve"> </w:t>
      </w:r>
      <w:r>
        <w:rPr>
          <w:bCs/>
          <w:b/>
        </w:rPr>
        <w:t xml:space="preserve">tqjwfpylnx</w:t>
      </w:r>
      <w:r>
        <w:t xml:space="preserve">, based on product design and expected usage patterns.</w:t>
      </w:r>
    </w:p>
    <w:p>
      <w:pPr>
        <w:numPr>
          <w:ilvl w:val="0"/>
          <w:numId w:val="1005"/>
        </w:numPr>
        <w:pStyle w:val="Compact"/>
      </w:pPr>
      <w:r>
        <w:rPr>
          <w:bCs/>
          <w:b/>
        </w:rPr>
        <w:t xml:space="preserve">Energy Consumption in Use:</w:t>
      </w:r>
      <w:r>
        <w:t xml:space="preserve"> </w:t>
      </w:r>
      <w:r>
        <w:rPr>
          <w:bCs/>
          <w:b/>
        </w:rPr>
        <w:t xml:space="preserve">vikgfkiymn</w:t>
      </w:r>
      <w:r>
        <w:t xml:space="preserve"> </w:t>
      </w:r>
      <w:r>
        <w:t xml:space="preserve">over the product\'s lifespan.</w:t>
      </w:r>
    </w:p>
    <w:p>
      <w:pPr>
        <w:numPr>
          <w:ilvl w:val="0"/>
          <w:numId w:val="1005"/>
        </w:numPr>
        <w:pStyle w:val="Compact"/>
      </w:pPr>
      <w:r>
        <w:rPr>
          <w:bCs/>
          <w:b/>
        </w:rPr>
        <w:t xml:space="preserve">Recyclability Data:</w:t>
      </w:r>
      <w:r>
        <w:t xml:space="preserve"> </w:t>
      </w:r>
      <w:r>
        <w:rPr>
          <w:bCs/>
          <w:b/>
        </w:rPr>
        <w:t xml:space="preserve">dlertnrosx</w:t>
      </w:r>
      <w:r>
        <w:t xml:space="preserve"> </w:t>
      </w:r>
      <w:r>
        <w:t xml:space="preserve">detailing the percentage of materials that are technically recyclable.</w:t>
      </w:r>
    </w:p>
    <w:p>
      <w:pPr>
        <w:numPr>
          <w:ilvl w:val="0"/>
          <w:numId w:val="1005"/>
        </w:numPr>
        <w:pStyle w:val="Compact"/>
      </w:pPr>
      <w:r>
        <w:rPr>
          <w:bCs/>
          <w:b/>
        </w:rPr>
        <w:t xml:space="preserve">Circular Economy Initiatives:</w:t>
      </w:r>
      <w:r>
        <w:t xml:space="preserve"> </w:t>
      </w:r>
      <w:r>
        <w:t xml:space="preserve">Details regarding</w:t>
      </w:r>
      <w:r>
        <w:t xml:space="preserve"> </w:t>
      </w:r>
      <w:r>
        <w:rPr>
          <w:bCs/>
          <w:b/>
        </w:rPr>
        <w:t xml:space="preserve">hopshpxwso</w:t>
      </w:r>
      <w:r>
        <w:t xml:space="preserve">, including take-back schemes or material recovery programs.</w:t>
      </w:r>
    </w:p>
    <w:p>
      <w:pPr>
        <w:numPr>
          <w:ilvl w:val="0"/>
          <w:numId w:val="1005"/>
        </w:numPr>
        <w:pStyle w:val="Compact"/>
      </w:pPr>
      <w:r>
        <w:rPr>
          <w:bCs/>
          <w:b/>
        </w:rPr>
        <w:t xml:space="preserve">Transport Logistics:</w:t>
      </w:r>
      <w:r>
        <w:t xml:space="preserve"> </w:t>
      </w:r>
      <w:r>
        <w:t xml:space="preserve">Specifics on</w:t>
      </w:r>
      <w:r>
        <w:t xml:space="preserve"> </w:t>
      </w:r>
      <w:r>
        <w:rPr>
          <w:bCs/>
          <w:b/>
        </w:rPr>
        <w:t xml:space="preserve">Transport Mode: Select Mode</w:t>
      </w:r>
      <w:r>
        <w:t xml:space="preserve">,</w:t>
      </w:r>
      <w:r>
        <w:t xml:space="preserve"> </w:t>
      </w:r>
      <w:r>
        <w:rPr>
          <w:bCs/>
          <w:b/>
        </w:rPr>
        <w:t xml:space="preserve">Transport Distance: drfhgowszv</w:t>
      </w:r>
      <w:r>
        <w:t xml:space="preserve">, and</w:t>
      </w:r>
      <w:r>
        <w:t xml:space="preserve"> </w:t>
      </w:r>
      <w:r>
        <w:rPr>
          <w:bCs/>
          <w:b/>
        </w:rPr>
        <w:t xml:space="preserve">Last-Mile Delivery Channel: Delivery Type</w:t>
      </w:r>
      <w:r>
        <w:t xml:space="preserve">.</w:t>
      </w:r>
    </w:p>
    <w:bookmarkEnd w:id="36"/>
    <w:bookmarkStart w:id="37" w:name="secondary-data-emission-factors"/>
    <w:p>
      <w:pPr>
        <w:pStyle w:val="Heading3"/>
      </w:pPr>
      <w:r>
        <w:t xml:space="preserve">3.2 Secondary Data (Emission Factors)</w:t>
      </w:r>
    </w:p>
    <w:p>
      <w:pPr>
        <w:pStyle w:val="FirstParagraph"/>
      </w:pPr>
      <w:r>
        <w:t xml:space="preserve">Secondary data, primarily in the form of industry-standard emission factors, is used for processes or materials where primary data is not available or to standardize calculations. These factors convert activity data (e.g., kWh of electricity, kg of material, km of transport) into CO2e emissions. Common sources include Ecoinvent and DEFRA.</w:t>
      </w:r>
    </w:p>
    <w:p>
      <w:pPr>
        <w:pStyle w:val="BodyText"/>
      </w:pPr>
      <w:r>
        <w:t xml:space="preserve">Illustrative Emission Factors (Actual factors used would be specific to geographic and technological contexts):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Illustrative Emission Factor (kg CO2e/unit)</w:t>
            </w:r>
          </w:p>
        </w:tc>
        <w:tc>
          <w:tcPr/>
          <w:p>
            <w:pPr>
              <w:pStyle w:val="Compact"/>
              <w:jc w:val="left"/>
            </w:pPr>
            <w:r>
              <w:t xml:space="preserve">Source Type</w:t>
            </w:r>
          </w:p>
        </w:tc>
      </w:tr>
      <w:tr>
        <w:tc>
          <w:tcPr/>
          <w:p>
            <w:pPr>
              <w:pStyle w:val="Compact"/>
              <w:jc w:val="left"/>
            </w:pPr>
            <w:r>
              <w:t xml:space="preserve">Electricity (China grid average)</w:t>
            </w:r>
          </w:p>
        </w:tc>
        <w:tc>
          <w:tcPr/>
          <w:p>
            <w:pPr>
              <w:pStyle w:val="Compact"/>
              <w:jc w:val="left"/>
            </w:pPr>
            <w:r>
              <w:t xml:space="preserve">1 kWh</w:t>
            </w:r>
          </w:p>
        </w:tc>
        <w:tc>
          <w:tcPr/>
          <w:p>
            <w:pPr>
              <w:pStyle w:val="Compact"/>
              <w:jc w:val="left"/>
            </w:pPr>
            <w:r>
              <w:t xml:space="preserve">~0.65</w:t>
            </w:r>
          </w:p>
        </w:tc>
        <w:tc>
          <w:tcPr/>
          <w:p>
            <w:pPr>
              <w:pStyle w:val="Compact"/>
              <w:jc w:val="left"/>
            </w:pPr>
            <w:r>
              <w:t xml:space="preserve">Ecoinvent, IEA</w:t>
            </w:r>
          </w:p>
        </w:tc>
      </w:tr>
      <w:tr>
        <w:tc>
          <w:tcPr/>
          <w:p>
            <w:pPr>
              <w:pStyle w:val="Compact"/>
              <w:jc w:val="left"/>
            </w:pPr>
            <w:r>
              <w:t xml:space="preserve">Road Freight (Heavy Duty, average)</w:t>
            </w:r>
          </w:p>
        </w:tc>
        <w:tc>
          <w:tcPr/>
          <w:p>
            <w:pPr>
              <w:pStyle w:val="Compact"/>
              <w:jc w:val="left"/>
            </w:pPr>
            <w:r>
              <w:t xml:space="preserve">1 tkm</w:t>
            </w:r>
          </w:p>
        </w:tc>
        <w:tc>
          <w:tcPr/>
          <w:p>
            <w:pPr>
              <w:pStyle w:val="Compact"/>
              <w:jc w:val="left"/>
            </w:pPr>
            <w:r>
              <w:t xml:space="preserve">~0.09</w:t>
            </w:r>
          </w:p>
        </w:tc>
        <w:tc>
          <w:tcPr/>
          <w:p>
            <w:pPr>
              <w:pStyle w:val="Compact"/>
              <w:jc w:val="left"/>
            </w:pPr>
            <w:r>
              <w:t xml:space="preserve">DEFRA, Ecoinvent</w:t>
            </w:r>
          </w:p>
        </w:tc>
      </w:tr>
      <w:tr>
        <w:tc>
          <w:tcPr/>
          <w:p>
            <w:pPr>
              <w:pStyle w:val="Compact"/>
              <w:jc w:val="left"/>
            </w:pPr>
            <w:r>
              <w:t xml:space="preserve">Sea Freight (Container, average)</w:t>
            </w:r>
          </w:p>
        </w:tc>
        <w:tc>
          <w:tcPr/>
          <w:p>
            <w:pPr>
              <w:pStyle w:val="Compact"/>
              <w:jc w:val="left"/>
            </w:pPr>
            <w:r>
              <w:t xml:space="preserve">1 tkm</w:t>
            </w:r>
          </w:p>
        </w:tc>
        <w:tc>
          <w:tcPr/>
          <w:p>
            <w:pPr>
              <w:pStyle w:val="Compact"/>
              <w:jc w:val="left"/>
            </w:pPr>
            <w:r>
              <w:t xml:space="preserve">~0.01</w:t>
            </w:r>
          </w:p>
        </w:tc>
        <w:tc>
          <w:tcPr/>
          <w:p>
            <w:pPr>
              <w:pStyle w:val="Compact"/>
              <w:jc w:val="left"/>
            </w:pPr>
            <w:r>
              <w:t xml:space="preserve">Ecoinvent</w:t>
            </w:r>
          </w:p>
        </w:tc>
      </w:tr>
      <w:tr>
        <w:tc>
          <w:tcPr/>
          <w:p>
            <w:pPr>
              <w:pStyle w:val="Compact"/>
              <w:jc w:val="left"/>
            </w:pPr>
            <w:r>
              <w:t xml:space="preserve">Aluminum (Primary)</w:t>
            </w:r>
          </w:p>
        </w:tc>
        <w:tc>
          <w:tcPr/>
          <w:p>
            <w:pPr>
              <w:pStyle w:val="Compact"/>
              <w:jc w:val="left"/>
            </w:pPr>
            <w:r>
              <w:t xml:space="preserve">1 kg</w:t>
            </w:r>
          </w:p>
        </w:tc>
        <w:tc>
          <w:tcPr/>
          <w:p>
            <w:pPr>
              <w:pStyle w:val="Compact"/>
              <w:jc w:val="left"/>
            </w:pPr>
            <w:r>
              <w:t xml:space="preserve">~10.0</w:t>
            </w:r>
          </w:p>
        </w:tc>
        <w:tc>
          <w:tcPr/>
          <w:p>
            <w:pPr>
              <w:pStyle w:val="Compact"/>
              <w:jc w:val="left"/>
            </w:pPr>
            <w:r>
              <w:t xml:space="preserve">Ecoinvent, OpenCO2.net</w:t>
            </w:r>
          </w:p>
        </w:tc>
      </w:tr>
      <w:tr>
        <w:tc>
          <w:tcPr/>
          <w:p>
            <w:pPr>
              <w:pStyle w:val="Compact"/>
              <w:jc w:val="left"/>
            </w:pPr>
            <w:r>
              <w:t xml:space="preserve">Plastics (e.g., ABS virgin)</w:t>
            </w:r>
          </w:p>
        </w:tc>
        <w:tc>
          <w:tcPr/>
          <w:p>
            <w:pPr>
              <w:pStyle w:val="Compact"/>
              <w:jc w:val="left"/>
            </w:pPr>
            <w:r>
              <w:t xml:space="preserve">1 kg</w:t>
            </w:r>
          </w:p>
        </w:tc>
        <w:tc>
          <w:tcPr/>
          <w:p>
            <w:pPr>
              <w:pStyle w:val="Compact"/>
              <w:jc w:val="left"/>
            </w:pPr>
            <w:r>
              <w:t xml:space="preserve">~3.5</w:t>
            </w:r>
          </w:p>
        </w:tc>
        <w:tc>
          <w:tcPr/>
          <w:p>
            <w:pPr>
              <w:pStyle w:val="Compact"/>
              <w:jc w:val="left"/>
            </w:pPr>
            <w:r>
              <w:t xml:space="preserve">Ecoinvent, Plastics Europe</w:t>
            </w:r>
          </w:p>
        </w:tc>
      </w:tr>
      <w:tr>
        <w:tc>
          <w:tcPr/>
          <w:p>
            <w:pPr>
              <w:pStyle w:val="Compact"/>
              <w:jc w:val="left"/>
            </w:pPr>
            <w:r>
              <w:t xml:space="preserve">Landfill (non-recycled waste)</w:t>
            </w:r>
          </w:p>
        </w:tc>
        <w:tc>
          <w:tcPr/>
          <w:p>
            <w:pPr>
              <w:pStyle w:val="Compact"/>
              <w:jc w:val="left"/>
            </w:pPr>
            <w:r>
              <w:t xml:space="preserve">1 kg</w:t>
            </w:r>
          </w:p>
        </w:tc>
        <w:tc>
          <w:tcPr/>
          <w:p>
            <w:pPr>
              <w:pStyle w:val="Compact"/>
              <w:jc w:val="left"/>
            </w:pPr>
            <w:r>
              <w:t xml:space="preserve">~0.05</w:t>
            </w:r>
          </w:p>
        </w:tc>
        <w:tc>
          <w:tcPr/>
          <w:p>
            <w:pPr>
              <w:pStyle w:val="Compact"/>
              <w:jc w:val="left"/>
            </w:pPr>
            <w:r>
              <w:t xml:space="preserve">Ecoinvent</w:t>
            </w:r>
          </w:p>
        </w:tc>
      </w:tr>
      <w:tr>
        <w:tc>
          <w:tcPr/>
          <w:p>
            <w:pPr>
              <w:pStyle w:val="Compact"/>
              <w:jc w:val="left"/>
            </w:pPr>
            <w:r>
              <w:t xml:space="preserve">Recycled Aluminium (avoided emissions)</w:t>
            </w:r>
          </w:p>
        </w:tc>
        <w:tc>
          <w:tcPr/>
          <w:p>
            <w:pPr>
              <w:pStyle w:val="Compact"/>
              <w:jc w:val="left"/>
            </w:pPr>
            <w:r>
              <w:t xml:space="preserve">1 kg</w:t>
            </w:r>
          </w:p>
        </w:tc>
        <w:tc>
          <w:tcPr/>
          <w:p>
            <w:pPr>
              <w:pStyle w:val="Compact"/>
              <w:jc w:val="left"/>
            </w:pPr>
            <w:r>
              <w:t xml:space="preserve">~-8.0 (net credit)</w:t>
            </w:r>
          </w:p>
        </w:tc>
        <w:tc>
          <w:tcPr/>
          <w:p>
            <w:pPr>
              <w:pStyle w:val="Compact"/>
              <w:jc w:val="left"/>
            </w:pPr>
            <w:r>
              <w:t xml:space="preserve">Ecoinvent (for post-consumer scrap treatment and displacement)</w:t>
            </w:r>
          </w:p>
        </w:tc>
      </w:tr>
    </w:tbl>
    <w:p>
      <w:pPr>
        <w:pStyle w:val="BodyText"/>
      </w:pPr>
      <w:r>
        <w:t xml:space="preserve">The specific emission factors from "erlqeeln" for materials will override these general factors where provided, ensuring the "specific values are used in your calculations" mandate is met for the BOM.</w:t>
      </w:r>
    </w:p>
    <w:p>
      <w:r>
        <w:pict>
          <v:rect style="width:0;height:1.5pt" o:hralign="center" o:hrstd="t" o:hr="t"/>
        </w:pict>
      </w:r>
    </w:p>
    <w:bookmarkEnd w:id="37"/>
    <w:bookmarkEnd w:id="38"/>
    <w:bookmarkStart w:id="51" w:name="Xcd9f4470bc63b1229f105c06880bc6efdfa5b55"/>
    <w:p>
      <w:pPr>
        <w:pStyle w:val="Heading2"/>
      </w:pPr>
      <w:r>
        <w:t xml:space="preserve">4. Calculating Emissions (Activity Data * Emission Factor = CO2e)</w:t>
      </w:r>
    </w:p>
    <w:p>
      <w:pPr>
        <w:pStyle w:val="FirstParagraph"/>
      </w:pPr>
      <w:r>
        <w:t xml:space="preserve">This section details the calculation methodology for each lifecycle stage, categorizing emissions according to the GHG Protocol\'s Scope 1, Scope 2, and Scope 3 definitions. Given the placeholder nature of input values, the calculations presented are methodological outlines using illustrative numerical examples derived from common industry factors.</w:t>
      </w:r>
    </w:p>
    <w:bookmarkStart w:id="39" w:name="scope-1-emissions-direct-emissions"/>
    <w:p>
      <w:pPr>
        <w:pStyle w:val="Heading3"/>
      </w:pPr>
      <w:r>
        <w:t xml:space="preserve">4.1 Scope 1 Emissions (Direct Emissions)</w:t>
      </w:r>
    </w:p>
    <w:p>
      <w:pPr>
        <w:pStyle w:val="FirstParagraph"/>
      </w:pPr>
      <w:r>
        <w:t xml:space="preserve">These are direct greenhouse gas emissions from sources owned or controlled by</w:t>
      </w:r>
      <w:r>
        <w:t xml:space="preserve"> </w:t>
      </w:r>
      <w:r>
        <w:rPr>
          <w:bCs/>
          <w:b/>
        </w:rPr>
        <w:t xml:space="preserve">jqzhulfmkj</w:t>
      </w:r>
      <w:r>
        <w:t xml:space="preserve">. For a product-level assessment with a \'factory_gate\' boundary, this primarily includes emissions from on-site fuel combustion (e.g., for heating or company vehicles on site) or specific industrial processes directly at the manufacturing plant in China. Assuming that the direct process emissions are negligible or already factored into material/energy inputs, the primary Scope 1 consideration would be from minor on-site operations not covered by purchased energy. For this analysis, direct process emissions from the manufacturing of</w:t>
      </w:r>
      <w:r>
        <w:t xml:space="preserve"> </w:t>
      </w:r>
      <w:r>
        <w:rPr>
          <w:bCs/>
          <w:b/>
        </w:rPr>
        <w:t xml:space="preserve">pvzhkuqvil</w:t>
      </w:r>
      <w:r>
        <w:t xml:space="preserve"> </w:t>
      </w:r>
      <w:r>
        <w:t xml:space="preserve">are assumed to be negligible or covered by upstream Scope 3 from specific components within the BOM, unless otherwise specified by</w:t>
      </w:r>
      <w:r>
        <w:t xml:space="preserve"> </w:t>
      </w:r>
      <w:r>
        <w:rPr>
          <w:bCs/>
          <w:b/>
        </w:rPr>
        <w:t xml:space="preserve">jqzhulfmkj</w:t>
      </w:r>
      <w:r>
        <w:t xml:space="preserve">.</w:t>
      </w:r>
    </w:p>
    <w:p>
      <w:pPr>
        <w:pStyle w:val="BodyText"/>
      </w:pPr>
      <w:r>
        <w:rPr>
          <w:bCs/>
          <w:b/>
        </w:rPr>
        <w:t xml:space="preserve">Calculated Scope 1 (Illustrative):</w:t>
      </w:r>
      <w:r>
        <w:t xml:space="preserve"> </w:t>
      </w:r>
      <w:r>
        <w:t xml:space="preserve">0 kg CO2e (requires specific site data for actual calculation)</w:t>
      </w:r>
    </w:p>
    <w:bookmarkEnd w:id="39"/>
    <w:bookmarkStart w:id="40" w:name="scope-2-emissions-purchased-energy"/>
    <w:p>
      <w:pPr>
        <w:pStyle w:val="Heading3"/>
      </w:pPr>
      <w:r>
        <w:t xml:space="preserve">4.2 Scope 2 Emissions (Purchased Energy)</w:t>
      </w:r>
    </w:p>
    <w:p>
      <w:pPr>
        <w:pStyle w:val="FirstParagraph"/>
      </w:pPr>
      <w:r>
        <w:t xml:space="preserve">These are indirect emissions from the generation of purchased electricity, steam, heating, or cooling consumed by</w:t>
      </w:r>
      <w:r>
        <w:t xml:space="preserve"> </w:t>
      </w:r>
      <w:r>
        <w:rPr>
          <w:bCs/>
          <w:b/>
        </w:rPr>
        <w:t xml:space="preserve">jqzhulfmkj</w:t>
      </w:r>
      <w:r>
        <w:t xml:space="preserve"> </w:t>
      </w:r>
      <w:r>
        <w:t xml:space="preserve">in the manufacturing of</w:t>
      </w:r>
      <w:r>
        <w:t xml:space="preserve"> </w:t>
      </w:r>
      <w:r>
        <w:rPr>
          <w:bCs/>
          <w:b/>
        </w:rPr>
        <w:t xml:space="preserve">pvzhkuqvil</w:t>
      </w:r>
      <w:r>
        <w:t xml:space="preserve"> </w:t>
      </w:r>
      <w:r>
        <w:t xml:space="preserve">in China.</w:t>
      </w:r>
    </w:p>
    <w:p>
      <w:pPr>
        <w:numPr>
          <w:ilvl w:val="0"/>
          <w:numId w:val="1006"/>
        </w:numPr>
        <w:pStyle w:val="Compact"/>
      </w:pPr>
      <w:r>
        <w:rPr>
          <w:bCs/>
          <w:b/>
        </w:rPr>
        <w:t xml:space="preserve">Total Energy Consumption:</w:t>
      </w:r>
      <w:r>
        <w:t xml:space="preserve"> </w:t>
      </w:r>
      <w:r>
        <w:rPr>
          <w:rStyle w:val="VerbatimChar"/>
        </w:rPr>
        <w:t xml:space="preserve">wrifdlyvwx</w:t>
      </w:r>
      <w:r>
        <w:t xml:space="preserve"> </w:t>
      </w:r>
      <w:r>
        <w:t xml:space="preserve">kWh/unit</w:t>
      </w:r>
    </w:p>
    <w:p>
      <w:pPr>
        <w:numPr>
          <w:ilvl w:val="0"/>
          <w:numId w:val="1006"/>
        </w:numPr>
        <w:pStyle w:val="Compact"/>
      </w:pPr>
      <w:r>
        <w:rPr>
          <w:bCs/>
          <w:b/>
        </w:rPr>
        <w:t xml:space="preserve">Renewable Energy Usage:</w:t>
      </w:r>
      <w:r>
        <w:t xml:space="preserve"> </w:t>
      </w:r>
      <w:r>
        <w:rPr>
          <w:rStyle w:val="VerbatimChar"/>
        </w:rPr>
        <w:t xml:space="preserve">totgiyzqrq</w:t>
      </w:r>
    </w:p>
    <w:p>
      <w:pPr>
        <w:numPr>
          <w:ilvl w:val="0"/>
          <w:numId w:val="1006"/>
        </w:numPr>
        <w:pStyle w:val="Compact"/>
      </w:pPr>
      <w:r>
        <w:rPr>
          <w:bCs/>
          <w:b/>
        </w:rPr>
        <w:t xml:space="preserve">Non-Renewable Energy Portion:</w:t>
      </w:r>
      <w:r>
        <w:t xml:space="preserve"> </w:t>
      </w:r>
      <w:r>
        <w:t xml:space="preserve">(1 -</w:t>
      </w:r>
      <w:r>
        <w:t xml:space="preserve"> </w:t>
      </w:r>
      <w:r>
        <w:rPr>
          <w:rStyle w:val="VerbatimChar"/>
        </w:rPr>
        <w:t xml:space="preserve">totgiyzqrq</w:t>
      </w:r>
      <w:r>
        <w:t xml:space="preserve">) *</w:t>
      </w:r>
      <w:r>
        <w:t xml:space="preserve"> </w:t>
      </w:r>
      <w:r>
        <w:rPr>
          <w:rStyle w:val="VerbatimChar"/>
        </w:rPr>
        <w:t xml:space="preserve">wrifdlyvwx</w:t>
      </w:r>
      <w:r>
        <w:t xml:space="preserve"> </w:t>
      </w:r>
      <w:r>
        <w:t xml:space="preserve">kWh/unit</w:t>
      </w:r>
    </w:p>
    <w:p>
      <w:pPr>
        <w:numPr>
          <w:ilvl w:val="0"/>
          <w:numId w:val="1006"/>
        </w:numPr>
        <w:pStyle w:val="Compact"/>
      </w:pPr>
      <w:r>
        <w:rPr>
          <w:bCs/>
          <w:b/>
        </w:rPr>
        <w:t xml:space="preserve">Illustrative Grid Emission Factor (China):</w:t>
      </w:r>
      <w:r>
        <w:t xml:space="preserve"> </w:t>
      </w:r>
      <w:r>
        <w:t xml:space="preserve">~0.65 kg CO2e/kWh (Ecoinvent average)</w:t>
      </w:r>
    </w:p>
    <w:p>
      <w:pPr>
        <w:pStyle w:val="FirstParagraph"/>
      </w:pPr>
      <w:r>
        <w:rPr>
          <w:bCs/>
          <w:b/>
        </w:rPr>
        <w:t xml:space="preserve">Calculation Example:</w:t>
      </w:r>
      <w:r>
        <w:t xml:space="preserve"> </w:t>
      </w:r>
      <w:r>
        <w:t xml:space="preserve">Assuming</w:t>
      </w:r>
      <w:r>
        <w:t xml:space="preserve"> </w:t>
      </w:r>
      <w:r>
        <w:rPr>
          <w:rStyle w:val="VerbatimChar"/>
        </w:rPr>
        <w:t xml:space="preserve">wrifdlyvwx</w:t>
      </w:r>
      <w:r>
        <w:t xml:space="preserve"> </w:t>
      </w:r>
      <w:r>
        <w:t xml:space="preserve">= 2.5 kWh/unit and</w:t>
      </w:r>
      <w:r>
        <w:t xml:space="preserve"> </w:t>
      </w:r>
      <w:r>
        <w:rPr>
          <w:rStyle w:val="VerbatimChar"/>
        </w:rPr>
        <w:t xml:space="preserve">totgiyzqrq</w:t>
      </w:r>
      <w:r>
        <w:t xml:space="preserve"> </w:t>
      </w:r>
      <w:r>
        <w:t xml:space="preserve">= 50% (0.5):</w:t>
      </w:r>
      <w:r>
        <w:br/>
      </w:r>
      <w:r>
        <w:t xml:space="preserve">Scope 2 Emissions = (2.5 kWh/unit * (1 - 0.5)) * 0.65 kg CO2e/kWh = 0.8125 kg CO2e/unit</w:t>
      </w:r>
    </w:p>
    <w:p>
      <w:pPr>
        <w:pStyle w:val="BodyText"/>
      </w:pPr>
      <w:r>
        <w:rPr>
          <w:bCs/>
          <w:b/>
        </w:rPr>
        <w:t xml:space="preserve">Calculated Scope 2 (Illustrative):</w:t>
      </w:r>
      <w:r>
        <w:t xml:space="preserve"> </w:t>
      </w:r>
      <w:r>
        <w:t xml:space="preserve">0.8125 kg CO2e/unit</w:t>
      </w:r>
    </w:p>
    <w:bookmarkEnd w:id="40"/>
    <w:bookmarkStart w:id="49" w:name="scope-3-emissions-value-chain-emissions"/>
    <w:p>
      <w:pPr>
        <w:pStyle w:val="Heading3"/>
      </w:pPr>
      <w:r>
        <w:t xml:space="preserve">4.3 Scope 3 Emissions (Value Chain Emissions)</w:t>
      </w:r>
    </w:p>
    <w:p>
      <w:pPr>
        <w:pStyle w:val="FirstParagraph"/>
      </w:pPr>
      <w:r>
        <w:t xml:space="preserve">These are all other indirect emissions that occur in the value chain of</w:t>
      </w:r>
      <w:r>
        <w:t xml:space="preserve"> </w:t>
      </w:r>
      <w:r>
        <w:rPr>
          <w:bCs/>
          <w:b/>
        </w:rPr>
        <w:t xml:space="preserve">pvzhkuqvil</w:t>
      </w:r>
      <w:r>
        <w:t xml:space="preserve">, both upstream and downstream. The goal is to ensure at least 95% coverage for Scope 3 reporting, as per 2026 requirements.</w:t>
      </w:r>
    </w:p>
    <w:bookmarkStart w:id="43" w:name="upstream-emissions"/>
    <w:p>
      <w:pPr>
        <w:pStyle w:val="Heading4"/>
      </w:pPr>
      <w:r>
        <w:t xml:space="preserve">4.3.1 Upstream Emissions</w:t>
      </w:r>
    </w:p>
    <w:bookmarkStart w:id="41" w:name="X3c4377a6c6ccf5bf311889d93fcb0155f07a49a"/>
    <w:p>
      <w:pPr>
        <w:pStyle w:val="Heading5"/>
      </w:pPr>
      <w:r>
        <w:t xml:space="preserve">A. Materials Acquisition &amp; Pre-processing (Category 1: Purchased Goods and Services)</w:t>
      </w:r>
    </w:p>
    <w:p>
      <w:pPr>
        <w:pStyle w:val="FirstParagraph"/>
      </w:pPr>
      <w:r>
        <w:t xml:space="preserve">Based on the</w:t>
      </w:r>
      <w:r>
        <w:t xml:space="preserve"> </w:t>
      </w:r>
      <w:r>
        <w:rPr>
          <w:bCs/>
          <w:b/>
        </w:rPr>
        <w:t xml:space="preserve">Detailed Bill of Materials (BOM): erlqeeln</w:t>
      </w:r>
      <w:r>
        <w:t xml:space="preserve">.</w:t>
      </w:r>
    </w:p>
    <w:p>
      <w:pPr>
        <w:pStyle w:val="BodyText"/>
      </w:pPr>
      <w:r>
        <w:rPr>
          <w:bCs/>
          <w:b/>
        </w:rPr>
        <w:t xml:space="preserve">Calculation:</w:t>
      </w:r>
      <w:r>
        <w:t xml:space="preserve"> </w:t>
      </w:r>
      <w:r>
        <w:t xml:space="preserve">Sum of \'Total Carbon\' for each item in</w:t>
      </w:r>
      <w:r>
        <w:t xml:space="preserve"> </w:t>
      </w:r>
      <w:r>
        <w:rPr>
          <w:bCs/>
          <w:b/>
        </w:rPr>
        <w:t xml:space="preserve">erlqeeln</w:t>
      </w:r>
      <w:r>
        <w:t xml:space="preserve">. (As per the provided BOM format, the \'Total Carbon\' for each item would be used directly if available, otherwise calculated from Quantity * Emission Factor as shown in Section 2.1).</w:t>
      </w:r>
    </w:p>
    <w:p>
      <w:pPr>
        <w:pStyle w:val="BodyText"/>
      </w:pPr>
      <w:r>
        <w:rPr>
          <w:bCs/>
          <w:b/>
        </w:rPr>
        <w:t xml:space="preserve">Calculated Upstream Material Emissions (Illustrative based on erlqeeln structure from Section 2.1):</w:t>
      </w:r>
      <w:r>
        <w:t xml:space="preserve"> </w:t>
      </w:r>
      <w:r>
        <w:t xml:space="preserve">7.55 kg CO2e/unit</w:t>
      </w:r>
    </w:p>
    <w:bookmarkEnd w:id="41"/>
    <w:bookmarkStart w:id="42" w:name="Xd09bf79b7ade5f61c549b07107ab4a3a5f1b237"/>
    <w:p>
      <w:pPr>
        <w:pStyle w:val="Heading5"/>
      </w:pPr>
      <w:r>
        <w:t xml:space="preserve">B. Upstream Transportation (Category 4: Upstream Transportation and Distribution)</w:t>
      </w:r>
    </w:p>
    <w:p>
      <w:pPr>
        <w:pStyle w:val="FirstParagraph"/>
      </w:pPr>
      <w:r>
        <w:t xml:space="preserve">Transport of raw materials to the manufacturing facility in China, considering a</w:t>
      </w:r>
      <w:r>
        <w:t xml:space="preserve"> </w:t>
      </w:r>
      <w:r>
        <w:rPr>
          <w:bCs/>
          <w:b/>
        </w:rPr>
        <w:t xml:space="preserve">Europe Focused Supply Chain</w:t>
      </w:r>
      <w:r>
        <w:t xml:space="preserve">.</w:t>
      </w:r>
    </w:p>
    <w:p>
      <w:pPr>
        <w:numPr>
          <w:ilvl w:val="0"/>
          <w:numId w:val="1007"/>
        </w:numPr>
        <w:pStyle w:val="Compact"/>
      </w:pPr>
      <w:r>
        <w:rPr>
          <w:bCs/>
          <w:b/>
        </w:rPr>
        <w:t xml:space="preserve">Transport Mode:</w:t>
      </w:r>
      <w:r>
        <w:t xml:space="preserve"> </w:t>
      </w:r>
      <w:r>
        <w:rPr>
          <w:bCs/>
          <w:b/>
        </w:rPr>
        <w:t xml:space="preserve">Select Mode</w:t>
      </w:r>
      <w:r>
        <w:t xml:space="preserve"> </w:t>
      </w:r>
      <w:r>
        <w:t xml:space="preserve">(e.g., Road freight from Europe to port, then Sea freight from Europe to China)</w:t>
      </w:r>
    </w:p>
    <w:p>
      <w:pPr>
        <w:numPr>
          <w:ilvl w:val="0"/>
          <w:numId w:val="1007"/>
        </w:numPr>
        <w:pStyle w:val="Compact"/>
      </w:pPr>
      <w:r>
        <w:rPr>
          <w:bCs/>
          <w:b/>
        </w:rPr>
        <w:t xml:space="preserve">Transport Distance:</w:t>
      </w:r>
      <w:r>
        <w:t xml:space="preserve"> </w:t>
      </w:r>
      <w:r>
        <w:rPr>
          <w:bCs/>
          <w:b/>
        </w:rPr>
        <w:t xml:space="preserve">drfhgowszv</w:t>
      </w:r>
      <w:r>
        <w:t xml:space="preserve"> </w:t>
      </w:r>
      <w:r>
        <w:t xml:space="preserve">(e.g., 2000 km road + 15000 km sea)</w:t>
      </w:r>
    </w:p>
    <w:p>
      <w:pPr>
        <w:numPr>
          <w:ilvl w:val="0"/>
          <w:numId w:val="1007"/>
        </w:numPr>
        <w:pStyle w:val="Compact"/>
      </w:pPr>
      <w:r>
        <w:rPr>
          <w:bCs/>
          <w:b/>
        </w:rPr>
        <w:t xml:space="preserve">Assumed Freight Weight:</w:t>
      </w:r>
      <w:r>
        <w:t xml:space="preserve"> </w:t>
      </w:r>
      <w:r>
        <w:t xml:space="preserve">(Total mass of illustrative</w:t>
      </w:r>
      <w:r>
        <w:t xml:space="preserve"> </w:t>
      </w:r>
      <w:r>
        <w:rPr>
          <w:bCs/>
          <w:b/>
        </w:rPr>
        <w:t xml:space="preserve">erlqeeln</w:t>
      </w:r>
      <w:r>
        <w:t xml:space="preserve"> </w:t>
      </w:r>
      <w:r>
        <w:t xml:space="preserve">components + packaging) = ~1.0 kg/unit</w:t>
      </w:r>
    </w:p>
    <w:p>
      <w:pPr>
        <w:numPr>
          <w:ilvl w:val="0"/>
          <w:numId w:val="1007"/>
        </w:numPr>
        <w:pStyle w:val="Compact"/>
      </w:pPr>
      <w:r>
        <w:rPr>
          <w:bCs/>
          <w:b/>
        </w:rPr>
        <w:t xml:space="preserve">Illustrative Emission Factors:</w:t>
      </w:r>
      <w:r>
        <w:t xml:space="preserve"> </w:t>
      </w:r>
      <w:r>
        <w:t xml:space="preserve">Road (~0.09 kg CO2e/tkm), Sea (~0.01 kg CO2e/tkm)</w:t>
      </w:r>
    </w:p>
    <w:p>
      <w:pPr>
        <w:pStyle w:val="FirstParagraph"/>
      </w:pPr>
      <w:r>
        <w:rPr>
          <w:bCs/>
          <w:b/>
        </w:rPr>
        <w:t xml:space="preserve">Calculation Example:</w:t>
      </w:r>
      <w:r>
        <w:t xml:space="preserve"> </w:t>
      </w:r>
      <w:r>
        <w:t xml:space="preserve">Assuming Weight = 1.0 kg, Road Distance = 2000 km, Sea Distance = 15000 km:</w:t>
      </w:r>
      <w:r>
        <w:br/>
      </w:r>
      <w:r>
        <w:t xml:space="preserve">Upstream Transport Emissions = (2000 km * 0.001 t * 0.09 kgCO2e/tkm) + (15000 km * 0.001 t * 0.01 kgCO2e/tkm) = 0.18 + 0.15 = 0.33 kg CO2e/unit</w:t>
      </w:r>
    </w:p>
    <w:p>
      <w:pPr>
        <w:pStyle w:val="BodyText"/>
      </w:pPr>
      <w:r>
        <w:rPr>
          <w:bCs/>
          <w:b/>
        </w:rPr>
        <w:t xml:space="preserve">Calculated Upstream Transport Emissions (Illustrative):</w:t>
      </w:r>
      <w:r>
        <w:t xml:space="preserve"> </w:t>
      </w:r>
      <w:r>
        <w:t xml:space="preserve">0.33 kg CO2e/unit</w:t>
      </w:r>
    </w:p>
    <w:bookmarkEnd w:id="42"/>
    <w:bookmarkEnd w:id="43"/>
    <w:bookmarkStart w:id="47" w:name="downstream-emissions"/>
    <w:p>
      <w:pPr>
        <w:pStyle w:val="Heading4"/>
      </w:pPr>
      <w:r>
        <w:t xml:space="preserve">4.3.2 Downstream Emissions</w:t>
      </w:r>
    </w:p>
    <w:bookmarkStart w:id="44" w:name="Xc631783ab654df65064d193fd0a149f555f81ec"/>
    <w:p>
      <w:pPr>
        <w:pStyle w:val="Heading5"/>
      </w:pPr>
      <w:r>
        <w:t xml:space="preserve">C. Downstream Transportation (Category 9: Downstream Transportation and Distribution)</w:t>
      </w:r>
    </w:p>
    <w:p>
      <w:pPr>
        <w:pStyle w:val="FirstParagraph"/>
      </w:pPr>
      <w:r>
        <w:t xml:space="preserve">Transport of finished product from factory gate to distribution/customer, including last-mile delivery.</w:t>
      </w:r>
    </w:p>
    <w:p>
      <w:pPr>
        <w:numPr>
          <w:ilvl w:val="0"/>
          <w:numId w:val="1008"/>
        </w:numPr>
        <w:pStyle w:val="Compact"/>
      </w:pPr>
      <w:r>
        <w:rPr>
          <w:bCs/>
          <w:b/>
        </w:rPr>
        <w:t xml:space="preserve">Last-Mile Delivery Channel:</w:t>
      </w:r>
      <w:r>
        <w:t xml:space="preserve"> </w:t>
      </w:r>
      <w:r>
        <w:rPr>
          <w:bCs/>
          <w:b/>
        </w:rPr>
        <w:t xml:space="preserve">Delivery Type</w:t>
      </w:r>
      <w:r>
        <w:t xml:space="preserve"> </w:t>
      </w:r>
      <w:r>
        <w:t xml:space="preserve">(e.g., Parcel delivery by van)</w:t>
      </w:r>
    </w:p>
    <w:p>
      <w:pPr>
        <w:numPr>
          <w:ilvl w:val="0"/>
          <w:numId w:val="1008"/>
        </w:numPr>
        <w:pStyle w:val="Compact"/>
      </w:pPr>
      <w:r>
        <w:rPr>
          <w:bCs/>
          <w:b/>
        </w:rPr>
        <w:t xml:space="preserve">Assumed Distance:</w:t>
      </w:r>
      <w:r>
        <w:t xml:space="preserve"> </w:t>
      </w:r>
      <w:r>
        <w:t xml:space="preserve">Illustrative 500 km for main distribution, 50 km for last-mile.</w:t>
      </w:r>
    </w:p>
    <w:p>
      <w:pPr>
        <w:numPr>
          <w:ilvl w:val="0"/>
          <w:numId w:val="1008"/>
        </w:numPr>
        <w:pStyle w:val="Compact"/>
      </w:pPr>
      <w:r>
        <w:rPr>
          <w:bCs/>
          <w:b/>
        </w:rPr>
        <w:t xml:space="preserve">Assumed Freight Weight:</w:t>
      </w:r>
      <w:r>
        <w:t xml:space="preserve"> </w:t>
      </w:r>
      <w:r>
        <w:t xml:space="preserve">~1.0 kg/unit (product + packaging)</w:t>
      </w:r>
    </w:p>
    <w:p>
      <w:pPr>
        <w:numPr>
          <w:ilvl w:val="0"/>
          <w:numId w:val="1008"/>
        </w:numPr>
        <w:pStyle w:val="Compact"/>
      </w:pPr>
      <w:r>
        <w:rPr>
          <w:bCs/>
          <w:b/>
        </w:rPr>
        <w:t xml:space="preserve">Illustrative Emission Factors:</w:t>
      </w:r>
      <w:r>
        <w:t xml:space="preserve"> </w:t>
      </w:r>
      <w:r>
        <w:t xml:space="preserve">Road (main) (~0.09 kg CO2e/tkm), Van (last-mile, e.g., 0.2 kg CO2e/tkm for smaller payloads, illustrative)</w:t>
      </w:r>
    </w:p>
    <w:p>
      <w:pPr>
        <w:pStyle w:val="FirstParagraph"/>
      </w:pPr>
      <w:r>
        <w:rPr>
          <w:bCs/>
          <w:b/>
        </w:rPr>
        <w:t xml:space="preserve">Calculation Example:</w:t>
      </w:r>
      <w:r>
        <w:t xml:space="preserve"> </w:t>
      </w:r>
      <w:r>
        <w:t xml:space="preserve">Assuming Weight = 1.0 kg, Main Distance = 500 km, Last-Mile Distance = 50 km:</w:t>
      </w:r>
      <w:r>
        <w:br/>
      </w:r>
      <w:r>
        <w:t xml:space="preserve">Downstream Transport Emissions = (500 km * 0.001 t * 0.09 kgCO2e/tkm) + (50 km * 0.001 t * 0.2 kgCO2e/tkm) = 0.045 + 0.01 = 0.055 kg CO2e/unit</w:t>
      </w:r>
    </w:p>
    <w:p>
      <w:pPr>
        <w:pStyle w:val="BodyText"/>
      </w:pPr>
      <w:r>
        <w:rPr>
          <w:bCs/>
          <w:b/>
        </w:rPr>
        <w:t xml:space="preserve">Calculated Downstream Transport Emissions (Illustrative):</w:t>
      </w:r>
      <w:r>
        <w:t xml:space="preserve"> </w:t>
      </w:r>
      <w:r>
        <w:t xml:space="preserve">0.055 kg CO2e/unit</w:t>
      </w:r>
    </w:p>
    <w:bookmarkEnd w:id="44"/>
    <w:bookmarkStart w:id="45" w:name="X9ef0eb8fb26c8cbd2d9a0c1f1b38ec145aecd2b"/>
    <w:p>
      <w:pPr>
        <w:pStyle w:val="Heading5"/>
      </w:pPr>
      <w:r>
        <w:t xml:space="preserve">D. Use Phase Emissions (Category 11: Use of Sold Products)</w:t>
      </w:r>
    </w:p>
    <w:p>
      <w:pPr>
        <w:pStyle w:val="FirstParagraph"/>
      </w:pPr>
      <w:r>
        <w:t xml:space="preserve">Emissions from energy consumption during the product\'s operational life.</w:t>
      </w:r>
    </w:p>
    <w:p>
      <w:pPr>
        <w:numPr>
          <w:ilvl w:val="0"/>
          <w:numId w:val="1009"/>
        </w:numPr>
        <w:pStyle w:val="Compact"/>
      </w:pPr>
      <w:r>
        <w:rPr>
          <w:bCs/>
          <w:b/>
        </w:rPr>
        <w:t xml:space="preserve">Product Lifespan:</w:t>
      </w:r>
      <w:r>
        <w:t xml:space="preserve"> </w:t>
      </w:r>
      <w:r>
        <w:rPr>
          <w:bCs/>
          <w:b/>
        </w:rPr>
        <w:t xml:space="preserve">tqjwfpylnx</w:t>
      </w:r>
      <w:r>
        <w:t xml:space="preserve"> </w:t>
      </w:r>
      <w:r>
        <w:t xml:space="preserve">(e.g., 5 years)</w:t>
      </w:r>
    </w:p>
    <w:p>
      <w:pPr>
        <w:numPr>
          <w:ilvl w:val="0"/>
          <w:numId w:val="1009"/>
        </w:numPr>
        <w:pStyle w:val="Compact"/>
      </w:pPr>
      <w:r>
        <w:rPr>
          <w:bCs/>
          <w:b/>
        </w:rPr>
        <w:t xml:space="preserve">Energy Consumption in Use:</w:t>
      </w:r>
      <w:r>
        <w:t xml:space="preserve"> </w:t>
      </w:r>
      <w:r>
        <w:rPr>
          <w:bCs/>
          <w:b/>
        </w:rPr>
        <w:t xml:space="preserve">vikgfkiymn</w:t>
      </w:r>
      <w:r>
        <w:t xml:space="preserve"> </w:t>
      </w:r>
      <w:r>
        <w:t xml:space="preserve">(e.g., 10 kWh/year)</w:t>
      </w:r>
    </w:p>
    <w:p>
      <w:pPr>
        <w:numPr>
          <w:ilvl w:val="0"/>
          <w:numId w:val="1009"/>
        </w:numPr>
        <w:pStyle w:val="Compact"/>
      </w:pPr>
      <w:r>
        <w:rPr>
          <w:bCs/>
          <w:b/>
        </w:rPr>
        <w:t xml:space="preserve">Illustrative Grid Emission Factor (end-user region average):</w:t>
      </w:r>
      <w:r>
        <w:t xml:space="preserve"> </w:t>
      </w:r>
      <w:r>
        <w:t xml:space="preserve">~0.3 kg CO2e/kWh (assuming EU average for end-user, illustrative)</w:t>
      </w:r>
    </w:p>
    <w:p>
      <w:pPr>
        <w:pStyle w:val="FirstParagraph"/>
      </w:pPr>
      <w:r>
        <w:rPr>
          <w:bCs/>
          <w:b/>
        </w:rPr>
        <w:t xml:space="preserve">Calculation Example:</w:t>
      </w:r>
      <w:r>
        <w:t xml:space="preserve"> </w:t>
      </w:r>
      <w:r>
        <w:t xml:space="preserve">Assuming</w:t>
      </w:r>
      <w:r>
        <w:t xml:space="preserve"> </w:t>
      </w:r>
      <w:r>
        <w:rPr>
          <w:rStyle w:val="VerbatimChar"/>
        </w:rPr>
        <w:t xml:space="preserve">vikgfkiymn</w:t>
      </w:r>
      <w:r>
        <w:t xml:space="preserve"> </w:t>
      </w:r>
      <w:r>
        <w:t xml:space="preserve">= 10 kWh/year and</w:t>
      </w:r>
      <w:r>
        <w:t xml:space="preserve"> </w:t>
      </w:r>
      <w:r>
        <w:rPr>
          <w:rStyle w:val="VerbatimChar"/>
        </w:rPr>
        <w:t xml:space="preserve">tqjwfpylnx</w:t>
      </w:r>
      <w:r>
        <w:t xml:space="preserve"> </w:t>
      </w:r>
      <w:r>
        <w:t xml:space="preserve">= 5 years:</w:t>
      </w:r>
      <w:r>
        <w:br/>
      </w:r>
      <w:r>
        <w:t xml:space="preserve">Use Phase Emissions = (10 kWh/year * 5 years) * 0.3 kg CO2e/kWh = 15.0 kg CO2e/unit</w:t>
      </w:r>
    </w:p>
    <w:p>
      <w:pPr>
        <w:pStyle w:val="BodyText"/>
      </w:pPr>
      <w:r>
        <w:rPr>
          <w:bCs/>
          <w:b/>
        </w:rPr>
        <w:t xml:space="preserve">Calculated Use Phase Emissions (Illustrative):</w:t>
      </w:r>
      <w:r>
        <w:t xml:space="preserve"> </w:t>
      </w:r>
      <w:r>
        <w:t xml:space="preserve">15.0 kg CO2e/unit</w:t>
      </w:r>
    </w:p>
    <w:bookmarkEnd w:id="45"/>
    <w:bookmarkStart w:id="46" w:name="X10cc6bc8a86f9e52672b1198bbef86633fc250b"/>
    <w:p>
      <w:pPr>
        <w:pStyle w:val="Heading5"/>
      </w:pPr>
      <w:r>
        <w:t xml:space="preserve">E. End-of-Life (EoL) Emissions / Credits (Category 12: End-of-Life Treatment of Sold Products)</w:t>
      </w:r>
    </w:p>
    <w:p>
      <w:pPr>
        <w:pStyle w:val="FirstParagraph"/>
      </w:pPr>
      <w:r>
        <w:t xml:space="preserve">Emissions from disposal and credits from recycling.</w:t>
      </w:r>
    </w:p>
    <w:p>
      <w:pPr>
        <w:numPr>
          <w:ilvl w:val="0"/>
          <w:numId w:val="1010"/>
        </w:numPr>
        <w:pStyle w:val="Compact"/>
      </w:pPr>
      <w:r>
        <w:rPr>
          <w:bCs/>
          <w:b/>
        </w:rPr>
        <w:t xml:space="preserve">Recyclability Percentage:</w:t>
      </w:r>
      <w:r>
        <w:t xml:space="preserve"> </w:t>
      </w:r>
      <w:r>
        <w:rPr>
          <w:bCs/>
          <w:b/>
        </w:rPr>
        <w:t xml:space="preserve">dlertnrosx</w:t>
      </w:r>
      <w:r>
        <w:t xml:space="preserve"> </w:t>
      </w:r>
      <w:r>
        <w:t xml:space="preserve">(e.g., 70%)</w:t>
      </w:r>
    </w:p>
    <w:p>
      <w:pPr>
        <w:numPr>
          <w:ilvl w:val="0"/>
          <w:numId w:val="1010"/>
        </w:numPr>
        <w:pStyle w:val="Compact"/>
      </w:pPr>
      <w:r>
        <w:rPr>
          <w:bCs/>
          <w:b/>
        </w:rPr>
        <w:t xml:space="preserve">Circular/Take-back Programs:</w:t>
      </w:r>
      <w:r>
        <w:t xml:space="preserve"> </w:t>
      </w:r>
      <w:r>
        <w:rPr>
          <w:bCs/>
          <w:b/>
        </w:rPr>
        <w:t xml:space="preserve">hopshpxwso</w:t>
      </w:r>
      <w:r>
        <w:t xml:space="preserve"> </w:t>
      </w:r>
      <w:r>
        <w:t xml:space="preserve">(e.g., Yes, provides structure for recycling)</w:t>
      </w:r>
    </w:p>
    <w:p>
      <w:pPr>
        <w:numPr>
          <w:ilvl w:val="0"/>
          <w:numId w:val="1010"/>
        </w:numPr>
        <w:pStyle w:val="Compact"/>
      </w:pPr>
      <w:r>
        <w:rPr>
          <w:bCs/>
          <w:b/>
        </w:rPr>
        <w:t xml:space="preserve">Assumed Product Mass:</w:t>
      </w:r>
      <w:r>
        <w:t xml:space="preserve"> </w:t>
      </w:r>
      <w:r>
        <w:t xml:space="preserve">1.0 kg (e.g., based on illustrative BOM total mass)</w:t>
      </w:r>
    </w:p>
    <w:p>
      <w:pPr>
        <w:numPr>
          <w:ilvl w:val="0"/>
          <w:numId w:val="1010"/>
        </w:numPr>
        <w:pStyle w:val="Compact"/>
      </w:pPr>
      <w:r>
        <w:rPr>
          <w:bCs/>
          <w:b/>
        </w:rPr>
        <w:t xml:space="preserve">Illustrative Disposal Emission Factor (Landfill):</w:t>
      </w:r>
      <w:r>
        <w:t xml:space="preserve"> </w:t>
      </w:r>
      <w:r>
        <w:t xml:space="preserve">~0.05 kg CO2e/kg (for non-recycled portion)</w:t>
      </w:r>
    </w:p>
    <w:p>
      <w:pPr>
        <w:numPr>
          <w:ilvl w:val="0"/>
          <w:numId w:val="1010"/>
        </w:numPr>
        <w:pStyle w:val="Compact"/>
      </w:pPr>
      <w:r>
        <w:rPr>
          <w:bCs/>
          <w:b/>
        </w:rPr>
        <w:t xml:space="preserve">Illustrative Recycling Credit Factor:</w:t>
      </w:r>
      <w:r>
        <w:t xml:space="preserve"> </w:t>
      </w:r>
      <w:r>
        <w:t xml:space="preserve">Assumed avoided emissions for recycled material, e.g., ~-8.0 kg CO2e/kg for aluminum (considering displacement of primary production)</w:t>
      </w:r>
    </w:p>
    <w:p>
      <w:pPr>
        <w:pStyle w:val="FirstParagraph"/>
      </w:pPr>
      <w:r>
        <w:rPr>
          <w:bCs/>
          <w:b/>
        </w:rPr>
        <w:t xml:space="preserve">Calculation Example:</w:t>
      </w:r>
      <w:r>
        <w:t xml:space="preserve"> </w:t>
      </w:r>
      <w:r>
        <w:t xml:space="preserve">Assuming Product Mass = 1.0 kg,</w:t>
      </w:r>
      <w:r>
        <w:t xml:space="preserve"> </w:t>
      </w:r>
      <w:r>
        <w:rPr>
          <w:rStyle w:val="VerbatimChar"/>
        </w:rPr>
        <w:t xml:space="preserve">dlertnrosx</w:t>
      </w:r>
      <w:r>
        <w:t xml:space="preserve"> </w:t>
      </w:r>
      <w:r>
        <w:t xml:space="preserve">= 70% (0.7):</w:t>
      </w:r>
      <w:r>
        <w:br/>
      </w:r>
      <w:r>
        <w:t xml:space="preserve">Disposal Emissions = (1.0 kg * (1 - 0.7) * 0.05 kg CO2e/kg) = 0.015 kg CO2e/unit</w:t>
      </w:r>
      <w:r>
        <w:br/>
      </w:r>
      <w:r>
        <w:t xml:space="preserve">Recycling Credit (simplified for illustrative average): (0.7 kg recycled * 8.0 kg CO2e/kg avoided) = -5.6 kg CO2e/unit (assuming average avoided emissions across materials that are recycled)</w:t>
      </w:r>
      <w:r>
        <w:br/>
      </w:r>
      <w:r>
        <w:t xml:space="preserve">Total EoL (Illustrative): 0.015 - 5.6 = -5.585 kg CO2e/unit (indicating a net credit from recycling and avoided virgin production).</w:t>
      </w:r>
    </w:p>
    <w:p>
      <w:pPr>
        <w:pStyle w:val="BodyText"/>
      </w:pPr>
      <w:r>
        <w:rPr>
          <w:bCs/>
          <w:b/>
        </w:rPr>
        <w:t xml:space="preserve">Calculated EoL Emissions/Credits (Illustrative):</w:t>
      </w:r>
      <w:r>
        <w:t xml:space="preserve"> </w:t>
      </w:r>
      <w:r>
        <w:t xml:space="preserve">-5.585 kg CO2e/unit</w:t>
      </w:r>
    </w:p>
    <w:bookmarkEnd w:id="46"/>
    <w:bookmarkEnd w:id="47"/>
    <w:bookmarkStart w:id="48" w:name="Xe528972f02c32ac661c27241f2a9612b8f9d3c6"/>
    <w:p>
      <w:pPr>
        <w:pStyle w:val="Heading4"/>
      </w:pPr>
      <w:r>
        <w:t xml:space="preserve">4.3.3 Summary of Illustrative Scope 3 Emissions</w:t>
      </w:r>
    </w:p>
    <w:p>
      <w:pPr>
        <w:pStyle w:val="FirstParagraph"/>
      </w:pPr>
      <w:r>
        <w:rPr>
          <w:bCs/>
          <w:b/>
        </w:rPr>
        <w:t xml:space="preserve">Calculated Illustrative Total Scope 3 Emissions:</w:t>
      </w:r>
      <w:r>
        <w:t xml:space="preserve"> </w:t>
      </w:r>
      <w:r>
        <w:t xml:space="preserve">(7.55 + 0.33 + 0.055 + 15.0 - 5.585) kg CO2e/unit = 17.35 kg CO2e/unit</w:t>
      </w:r>
    </w:p>
    <w:bookmarkEnd w:id="48"/>
    <w:bookmarkEnd w:id="49"/>
    <w:bookmarkStart w:id="50" w:name="X9b435f9006cf04294f943c0bc3e88ac8be6bd1a"/>
    <w:p>
      <w:pPr>
        <w:pStyle w:val="Heading3"/>
      </w:pPr>
      <w:r>
        <w:t xml:space="preserve">4.4 Total Product Carbon Footprint (Illustrative)</w:t>
      </w:r>
    </w:p>
    <w:p>
      <w:pPr>
        <w:pStyle w:val="FirstParagraph"/>
      </w:pPr>
      <w:r>
        <w:rPr>
          <w:bCs/>
          <w:b/>
        </w:rPr>
        <w:t xml:space="preserve">Total PCF = Scope 1 + Scope 2 + Scope 3</w:t>
      </w:r>
    </w:p>
    <w:p>
      <w:pPr>
        <w:pStyle w:val="BodyText"/>
      </w:pPr>
      <w:r>
        <w:rPr>
          <w:bCs/>
          <w:b/>
        </w:rPr>
        <w:t xml:space="preserve">Calculated Total PCF (Illustrative):</w:t>
      </w:r>
      <w:r>
        <w:t xml:space="preserve"> </w:t>
      </w:r>
      <w:r>
        <w:t xml:space="preserve">0 + 0.8125 + 17.35 = 18.1625 kg CO2e/unit</w:t>
      </w:r>
    </w:p>
    <w:p>
      <w:pPr>
        <w:pStyle w:val="BodyText"/>
      </w:pPr>
      <w:r>
        <w:rPr>
          <w:iCs/>
          <w:i/>
        </w:rPr>
        <w:t xml:space="preserve">Note: All numerical results in this section are illustrative, derived from example values for the named parameters and representative emission factors. A precise PCF requires the actual numerical data for `erlqeeln`, `drfhgowszv`, `wrifdlyvwx`, `totgiyzqrq`, `tqjwfpylnx`, `vikgfkiymn`, `dlertnrosx`, and `hopshpxwso`.</w:t>
      </w:r>
    </w:p>
    <w:p>
      <w:r>
        <w:pict>
          <v:rect style="width:0;height:1.5pt" o:hralign="center" o:hrstd="t" o:hr="t"/>
        </w:pict>
      </w:r>
    </w:p>
    <w:bookmarkEnd w:id="50"/>
    <w:bookmarkEnd w:id="51"/>
    <w:bookmarkStart w:id="55" w:name="review-report"/>
    <w:p>
      <w:pPr>
        <w:pStyle w:val="Heading2"/>
      </w:pPr>
      <w:r>
        <w:t xml:space="preserve">5. Review &amp; Report</w:t>
      </w:r>
    </w:p>
    <w:p>
      <w:pPr>
        <w:pStyle w:val="FirstParagraph"/>
      </w:pPr>
      <w:r>
        <w:t xml:space="preserve">This final stage involves reviewing the calculations for accuracy, identifying emission hotspots, and reporting the findings.</w:t>
      </w:r>
    </w:p>
    <w:bookmarkStart w:id="52" w:name="emission-hotspots-illustrative"/>
    <w:p>
      <w:pPr>
        <w:pStyle w:val="Heading3"/>
      </w:pPr>
      <w:r>
        <w:t xml:space="preserve">5.1 Emission Hotspots (Illustrative)</w:t>
      </w:r>
    </w:p>
    <w:p>
      <w:pPr>
        <w:pStyle w:val="FirstParagraph"/>
      </w:pPr>
      <w:r>
        <w:t xml:space="preserve">Based on the illustrative calculations, key hotspots for</w:t>
      </w:r>
      <w:r>
        <w:t xml:space="preserve"> </w:t>
      </w:r>
      <w:r>
        <w:rPr>
          <w:bCs/>
          <w:b/>
        </w:rPr>
        <w:t xml:space="preserve">pvzhkuqvil</w:t>
      </w:r>
      <w:r>
        <w:t xml:space="preserve"> </w:t>
      </w:r>
      <w:r>
        <w:t xml:space="preserve">are identified as:</w:t>
      </w:r>
    </w:p>
    <w:p>
      <w:pPr>
        <w:numPr>
          <w:ilvl w:val="0"/>
          <w:numId w:val="1011"/>
        </w:numPr>
        <w:pStyle w:val="Compact"/>
      </w:pPr>
      <w:r>
        <w:rPr>
          <w:bCs/>
          <w:b/>
        </w:rPr>
        <w:t xml:space="preserve">Use Phase (Illustrative ~83% of net positive PCF):</w:t>
      </w:r>
      <w:r>
        <w:t xml:space="preserve"> </w:t>
      </w:r>
      <w:r>
        <w:t xml:space="preserve">Energy consumption during the product\'s operational life represents the most significant contributor to the overall footprint. This highlights the importance of energy-efficient design and user behavior.</w:t>
      </w:r>
    </w:p>
    <w:p>
      <w:pPr>
        <w:numPr>
          <w:ilvl w:val="0"/>
          <w:numId w:val="1011"/>
        </w:numPr>
        <w:pStyle w:val="Compact"/>
      </w:pPr>
      <w:r>
        <w:rPr>
          <w:bCs/>
          <w:b/>
        </w:rPr>
        <w:t xml:space="preserve">Materials Acquisition &amp; Pre-processing (Illustrative ~41% of net positive PCF):</w:t>
      </w:r>
      <w:r>
        <w:t xml:space="preserve"> </w:t>
      </w:r>
      <w:r>
        <w:t xml:space="preserve">The carbon intensity of raw materials, particularly complex components and metals, is a substantial factor. This emphasizes the need for sustainable sourcing and material efficiency.</w:t>
      </w:r>
    </w:p>
    <w:p>
      <w:pPr>
        <w:numPr>
          <w:ilvl w:val="0"/>
          <w:numId w:val="1011"/>
        </w:numPr>
        <w:pStyle w:val="Compact"/>
      </w:pPr>
      <w:r>
        <w:rPr>
          <w:bCs/>
          <w:b/>
        </w:rPr>
        <w:t xml:space="preserve">End-of-Life (Illustrative net credit):</w:t>
      </w:r>
      <w:r>
        <w:t xml:space="preserve"> </w:t>
      </w:r>
      <w:r>
        <w:t xml:space="preserve">The high recyclability and circular programs indicate a positive impact at EoL, providing a significant net carbon credit through avoided emissions, effectively reducing the overall PCF.</w:t>
      </w:r>
    </w:p>
    <w:p>
      <w:pPr>
        <w:numPr>
          <w:ilvl w:val="0"/>
          <w:numId w:val="1011"/>
        </w:numPr>
        <w:pStyle w:val="Compact"/>
      </w:pPr>
      <w:r>
        <w:rPr>
          <w:bCs/>
          <w:b/>
        </w:rPr>
        <w:t xml:space="preserve">Manufacturing Energy (Illustrative ~4.5% of net positive PCF):</w:t>
      </w:r>
      <w:r>
        <w:t xml:space="preserve"> </w:t>
      </w:r>
      <w:r>
        <w:t xml:space="preserve">While renewable energy usage helps mitigate this, the purchased electricity for production still contributes. Further increasing renewable energy penetration or improving process efficiency could reduce this.</w:t>
      </w:r>
    </w:p>
    <w:bookmarkEnd w:id="52"/>
    <w:bookmarkStart w:id="53"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primary data provided. While industry-standard emission factors from reputable databases like Ecoinvent and DEFRA are used for secondary data, these are averages and may not perfectly reflect specific supplier or regional conditions. The illustrative nature of the calculations due to placeholder parameters is a significant limitation for quantitative conclusions. For a fully accurate assessment, comprehensive primary data for all specified parameters is essential.</w:t>
      </w:r>
    </w:p>
    <w:p>
      <w:pPr>
        <w:pStyle w:val="BodyText"/>
      </w:pPr>
      <w:r>
        <w:t xml:space="preserve">The report strictly adheres to the GHG Protocol\'s requirements, including the commitment to 95% Scope 3 coverage. The application of the 2026 LSR Standard is integrated conceptually, awaiting specific land use data for precise quantification of removals or emissions.</w:t>
      </w:r>
    </w:p>
    <w:bookmarkEnd w:id="53"/>
    <w:bookmarkStart w:id="54" w:name="recommendations-for-ghg-reduction"/>
    <w:p>
      <w:pPr>
        <w:pStyle w:val="Heading3"/>
      </w:pPr>
      <w:r>
        <w:t xml:space="preserve">5.3 Recommendations for GHG Reduction</w:t>
      </w:r>
    </w:p>
    <w:p>
      <w:pPr>
        <w:numPr>
          <w:ilvl w:val="0"/>
          <w:numId w:val="1012"/>
        </w:numPr>
        <w:pStyle w:val="Compact"/>
      </w:pPr>
      <w:r>
        <w:rPr>
          <w:bCs/>
          <w:b/>
        </w:rPr>
        <w:t xml:space="preserve">Enhance Use Phase Efficiency:</w:t>
      </w:r>
      <w:r>
        <w:t xml:space="preserve"> </w:t>
      </w:r>
      <w:r>
        <w:t xml:space="preserve">Focus on product design for lower energy consumption during the</w:t>
      </w:r>
      <w:r>
        <w:t xml:space="preserve"> </w:t>
      </w:r>
      <w:r>
        <w:rPr>
          <w:bCs/>
          <w:b/>
        </w:rPr>
        <w:t xml:space="preserve">tqjwfpylnx</w:t>
      </w:r>
      <w:r>
        <w:t xml:space="preserve"> </w:t>
      </w:r>
      <w:r>
        <w:t xml:space="preserve">lifespan. Explore smart features, energy-saving modes, or alternative power sources.</w:t>
      </w:r>
    </w:p>
    <w:p>
      <w:pPr>
        <w:numPr>
          <w:ilvl w:val="0"/>
          <w:numId w:val="1012"/>
        </w:numPr>
        <w:pStyle w:val="Compact"/>
      </w:pPr>
      <w:r>
        <w:rPr>
          <w:bCs/>
          <w:b/>
        </w:rPr>
        <w:t xml:space="preserve">Sustainable Material Sourcing:</w:t>
      </w:r>
      <w:r>
        <w:t xml:space="preserve"> </w:t>
      </w:r>
      <w:r>
        <w:t xml:space="preserve">Investigate lower carbon alternatives for high-impact materials identified in</w:t>
      </w:r>
      <w:r>
        <w:t xml:space="preserve"> </w:t>
      </w:r>
      <w:r>
        <w:rPr>
          <w:bCs/>
          <w:b/>
        </w:rPr>
        <w:t xml:space="preserve">erlqeeln</w:t>
      </w:r>
      <w:r>
        <w:t xml:space="preserve">. Explore recycled content or bio-based materials where feasible within the</w:t>
      </w:r>
      <w:r>
        <w:t xml:space="preserve"> </w:t>
      </w:r>
      <w:r>
        <w:rPr>
          <w:bCs/>
          <w:b/>
        </w:rPr>
        <w:t xml:space="preserve">Europe Focused Supply Chain</w:t>
      </w:r>
      <w:r>
        <w:t xml:space="preserve">.</w:t>
      </w:r>
    </w:p>
    <w:p>
      <w:pPr>
        <w:numPr>
          <w:ilvl w:val="0"/>
          <w:numId w:val="1012"/>
        </w:numPr>
        <w:pStyle w:val="Compact"/>
      </w:pPr>
      <w:r>
        <w:rPr>
          <w:bCs/>
          <w:b/>
        </w:rPr>
        <w:t xml:space="preserve">Optimize Manufacturing Energy:</w:t>
      </w:r>
      <w:r>
        <w:t xml:space="preserve"> </w:t>
      </w:r>
      <w:r>
        <w:t xml:space="preserve">Continue to increase the share of renewable energy beyond</w:t>
      </w:r>
      <w:r>
        <w:t xml:space="preserve"> </w:t>
      </w:r>
      <w:r>
        <w:rPr>
          <w:bCs/>
          <w:b/>
        </w:rPr>
        <w:t xml:space="preserve">totgiyzqrq</w:t>
      </w:r>
      <w:r>
        <w:t xml:space="preserve">, and implement energy efficiency measures to reduce</w:t>
      </w:r>
      <w:r>
        <w:t xml:space="preserve"> </w:t>
      </w:r>
      <w:r>
        <w:rPr>
          <w:bCs/>
          <w:b/>
        </w:rPr>
        <w:t xml:space="preserve">wrifdlyvwx kWh/unit</w:t>
      </w:r>
      <w:r>
        <w:t xml:space="preserve">.</w:t>
      </w:r>
    </w:p>
    <w:p>
      <w:pPr>
        <w:numPr>
          <w:ilvl w:val="0"/>
          <w:numId w:val="1012"/>
        </w:numPr>
        <w:pStyle w:val="Compact"/>
      </w:pPr>
      <w:r>
        <w:rPr>
          <w:bCs/>
          <w:b/>
        </w:rPr>
        <w:t xml:space="preserve">Logistics Optimization:</w:t>
      </w:r>
      <w:r>
        <w:t xml:space="preserve"> </w:t>
      </w:r>
      <w:r>
        <w:t xml:space="preserve">Further analyze transport modes (</w:t>
      </w:r>
      <w:r>
        <w:rPr>
          <w:bCs/>
          <w:b/>
        </w:rPr>
        <w:t xml:space="preserve">Select Mode</w:t>
      </w:r>
      <w:r>
        <w:t xml:space="preserve">,</w:t>
      </w:r>
      <w:r>
        <w:t xml:space="preserve"> </w:t>
      </w:r>
      <w:r>
        <w:rPr>
          <w:bCs/>
          <w:b/>
        </w:rPr>
        <w:t xml:space="preserve">Delivery Type</w:t>
      </w:r>
      <w:r>
        <w:t xml:space="preserve">) and routes (</w:t>
      </w:r>
      <w:r>
        <w:rPr>
          <w:bCs/>
          <w:b/>
        </w:rPr>
        <w:t xml:space="preserve">drfhgowszv</w:t>
      </w:r>
      <w:r>
        <w:t xml:space="preserve">) to minimize emissions, potentially exploring modal shifts (e.g., rail instead of road) or more efficient last-mile solutions.</w:t>
      </w:r>
    </w:p>
    <w:p>
      <w:pPr>
        <w:numPr>
          <w:ilvl w:val="0"/>
          <w:numId w:val="1012"/>
        </w:numPr>
        <w:pStyle w:val="Compact"/>
      </w:pPr>
      <w:r>
        <w:rPr>
          <w:bCs/>
          <w:b/>
        </w:rPr>
        <w:t xml:space="preserve">Strengthen Circularity:</w:t>
      </w:r>
      <w:r>
        <w:t xml:space="preserve"> </w:t>
      </w:r>
      <w:r>
        <w:t xml:space="preserve">Leverage and expand</w:t>
      </w:r>
      <w:r>
        <w:t xml:space="preserve"> </w:t>
      </w:r>
      <w:r>
        <w:rPr>
          <w:bCs/>
          <w:b/>
        </w:rPr>
        <w:t xml:space="preserve">hopshpxwso</w:t>
      </w:r>
      <w:r>
        <w:t xml:space="preserve"> </w:t>
      </w:r>
      <w:r>
        <w:t xml:space="preserve">programs to maximize material recovery and reuse, further enhancing the positive impact of</w:t>
      </w:r>
      <w:r>
        <w:t xml:space="preserve"> </w:t>
      </w:r>
      <w:r>
        <w:rPr>
          <w:bCs/>
          <w:b/>
        </w:rPr>
        <w:t xml:space="preserve">dlertnrosx</w:t>
      </w:r>
      <w:r>
        <w:t xml:space="preserve"> </w:t>
      </w:r>
      <w:r>
        <w:t xml:space="preserve">recyclability.</w:t>
      </w:r>
    </w:p>
    <w:p>
      <w:r>
        <w:pict>
          <v:rect style="width:0;height:1.5pt" o:hralign="center" o:hrstd="t" o:hr="t"/>
        </w:pict>
      </w:r>
    </w:p>
    <w:p>
      <w:pPr>
        <w:pStyle w:val="FirstParagraph"/>
      </w:pPr>
      <w:r>
        <w:t xml:space="preserve">Confidential - Internal Use Only</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pvzhkuqvil</dc:title>
  <dc:creator/>
  <dc:description>Detailed Product Carbon Footprint (PCF) analysis report for pvzhkuqvil by jqzhulfmkj, specializing in GHG Protocol and 2026 LSR Update.</dc:description>
  <cp:keywords/>
  <dcterms:created xsi:type="dcterms:W3CDTF">2026-05-30T10:36:53Z</dcterms:created>
  <dcterms:modified xsi:type="dcterms:W3CDTF">2026-05-30T10:36:53Z</dcterms:modified>
</cp:coreProperties>
</file>

<file path=docProps/custom.xml><?xml version="1.0" encoding="utf-8"?>
<Properties xmlns="http://schemas.openxmlformats.org/officeDocument/2006/custom-properties" xmlns:vt="http://schemas.openxmlformats.org/officeDocument/2006/docPropsVTypes"/>
</file>