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Product</w:t>
      </w:r>
      <w:r>
        <w:t xml:space="preserve"> </w:t>
      </w:r>
      <w:r>
        <w:t xml:space="preserve">X</w:t>
      </w:r>
    </w:p>
    <w:bookmarkStart w:id="20" w:name="carboncalcpcf.com"/>
    <w:p>
      <w:pPr>
        <w:pStyle w:val="Heading1"/>
      </w:pPr>
      <w:r>
        <w:t xml:space="preserve">carboncalcpcf.com</w:t>
      </w:r>
    </w:p>
    <w:bookmarkEnd w:id="20"/>
    <w:bookmarkStart w:id="21" w:name="Xf2e6ab5be446359d80f42f50d41e46314dfe19d"/>
    <w:p>
      <w:pPr>
        <w:pStyle w:val="Heading1"/>
      </w:pPr>
      <w:r>
        <w:t xml:space="preserve">Product Carbon Footprint (PCF) Analysis Report</w:t>
      </w:r>
    </w:p>
    <w:p>
      <w:pPr>
        <w:pStyle w:val="FirstParagraph"/>
      </w:pPr>
      <w:r>
        <w:t xml:space="preserve">For:</w:t>
      </w:r>
      <w:r>
        <w:t xml:space="preserve"> </w:t>
      </w:r>
      <w:r>
        <w:rPr>
          <w:bCs/>
          <w:b/>
        </w:rPr>
        <w:t xml:space="preserve">erugjgfeqm</w:t>
      </w:r>
    </w:p>
    <w:p>
      <w:pPr>
        <w:pStyle w:val="BodyText"/>
      </w:pPr>
      <w:r>
        <w:rPr>
          <w:bCs/>
          <w:b/>
        </w:rPr>
        <w:t xml:space="preserve">Company Name:</w:t>
      </w:r>
      <w:r>
        <w:t xml:space="preserve"> </w:t>
      </w:r>
      <w:r>
        <w:t xml:space="preserve">ywmuzhgrrj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prfleifhjr</w:t>
      </w:r>
    </w:p>
    <w:p>
      <w:pPr>
        <w:pStyle w:val="BodyText"/>
      </w:pPr>
      <w:r>
        <w:t xml:space="preserve">This report is generated based on available data and industry standards, providing an estimate of the product\'s carbon footprint.</w:t>
      </w:r>
    </w:p>
    <w:p>
      <w:pPr>
        <w:pStyle w:val="BodyText"/>
      </w:pPr>
      <w:r>
        <w:t xml:space="preserve">Generated Date: May 25, 2026</w:t>
      </w:r>
    </w:p>
    <w:bookmarkEnd w:id="21"/>
    <w:bookmarkStart w:id="22" w:name="Xc62cb1f6e57bd1d43b1a5fae43a8e2877ec5c7f"/>
    <w:p>
      <w:pPr>
        <w:pStyle w:val="Heading1"/>
      </w:pPr>
      <w:r>
        <w:t xml:space="preserve">Product Carbon Footprint (PCF) Analysis Report</w:t>
      </w:r>
    </w:p>
    <w:p>
      <w:pPr>
        <w:pStyle w:val="FirstParagraph"/>
      </w:pPr>
      <w:r>
        <w:t xml:space="preserve">Product: erugjgfeqm | Company: ywmuzhgrrj</w:t>
      </w:r>
    </w:p>
    <w:p>
      <w:pPr>
        <w:pStyle w:val="BodyText"/>
      </w:pPr>
      <w:r>
        <w:t xml:space="preserve">Generated Date: May 25,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\'erugjgfeqm\', manufactured by \'ywmuzhgrrj\'. The analysis adheres strictly to the GHG Protocol accounting standard, incorporating the 2026 Land Sector and Removals (LSR) Standard and targeting 95% Scope 3 coverage. Conducted by Senior Sustainability Consultant prfleifhjr, this assessment quantifies greenhouse gas emissions across the product\'s lifecycle from raw material acquisition to end-of-life, providing critical insights for sustainability improvements.</w:t>
      </w:r>
    </w:p>
    <w:p>
      <w:r>
        <w:pict>
          <v:rect style="width:0;height:1.5pt" o:hralign="center" o:hrstd="t" o:hr="t"/>
        </w:pict>
      </w:r>
    </w:p>
    <w:bookmarkEnd w:id="23"/>
    <w:bookmarkStart w:id="26" w:name="methodology-and-scope-definition"/>
    <w:p>
      <w:pPr>
        <w:pStyle w:val="Heading2"/>
      </w:pPr>
      <w:r>
        <w:t xml:space="preserve">1. Methodology and Scope Definition</w:t>
      </w:r>
    </w:p>
    <w:p>
      <w:pPr>
        <w:pStyle w:val="FirstParagraph"/>
      </w:pPr>
      <w:r>
        <w:t xml:space="preserve">This PCF analysis follows the five-step methodology recommended by the GHG Protocol, ensuring a comprehensive and standardized assessment.</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erugjgfeqm</w:t>
      </w:r>
    </w:p>
    <w:p>
      <w:pPr>
        <w:numPr>
          <w:ilvl w:val="0"/>
          <w:numId w:val="1001"/>
        </w:numPr>
        <w:pStyle w:val="Compact"/>
      </w:pPr>
      <w:r>
        <w:rPr>
          <w:bCs/>
          <w:b/>
        </w:rPr>
        <w:t xml:space="preserve">System Boundary:</w:t>
      </w:r>
      <w:r>
        <w:t xml:space="preserve"> </w:t>
      </w:r>
      <w:r>
        <w:t xml:space="preserve">Factory-gate – This assessment covers emissions from raw material acquisition, manufacturing, and transport to the factory gate. However, for a holistic view, additional downstream lifecycle stages (transport to customer, use phase, and end-of-life) are also included in line with PCF best practices.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influences assumptions for upstream and downstream transport and energy mix for the use phase).</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(value chain emissions). The analysis also considers the 2026 Land Sector and Removals (LSR) Standard for land use and carbon removals where applicable, and aims for at least 95% coverage for Scope 3 reporting.</w:t>
      </w:r>
    </w:p>
    <w:p>
      <w:pPr>
        <w:numPr>
          <w:ilvl w:val="0"/>
          <w:numId w:val="1001"/>
        </w:numPr>
        <w:pStyle w:val="Compact"/>
      </w:pPr>
      <w:r>
        <w:rPr>
          <w:bCs/>
          <w:b/>
        </w:rPr>
        <w:t xml:space="preserve">Allocation:</w:t>
      </w:r>
      <w:r>
        <w:t xml:space="preserve"> </w:t>
      </w:r>
      <w:r>
        <w:t xml:space="preserve">Mass-based allocation is applied where co-production or by-products occur in the supply chain, though specific details of allocation are primarily driven by the \'Total Carbon\' values provided in the Bill of Materials.</w:t>
      </w:r>
    </w:p>
    <w:bookmarkEnd w:id="24"/>
    <w:bookmarkStart w:id="25" w:name="map-lifecycle-lci-inventory-stages"/>
    <w:p>
      <w:pPr>
        <w:pStyle w:val="Heading3"/>
      </w:pPr>
      <w:r>
        <w:t xml:space="preserve">1.2. Map Lifecycle (LCI Inventory Stages)</w:t>
      </w:r>
    </w:p>
    <w:p>
      <w:pPr>
        <w:pStyle w:val="FirstParagraph"/>
      </w:pPr>
      <w:r>
        <w:t xml:space="preserve">The lifecycle of \'erugjgfeqm\' is mapped through the following stages, capturing all relevant inputs and outputs:</w:t>
      </w:r>
    </w:p>
    <w:p>
      <w:pPr>
        <w:numPr>
          <w:ilvl w:val="0"/>
          <w:numId w:val="1003"/>
        </w:numPr>
        <w:pStyle w:val="Compact"/>
      </w:pPr>
      <w:r>
        <w:rPr>
          <w:bCs/>
          <w:b/>
        </w:rPr>
        <w:t xml:space="preserve">Raw Material Acquisition &amp; Processing:</w:t>
      </w:r>
      <w:r>
        <w:t xml:space="preserve"> </w:t>
      </w:r>
      <w:r>
        <w:t xml:space="preserve">Extraction, processing, and refining of materials specified in the Bill of Materials (BOM). (Scope 3 - Upstream)</w:t>
      </w:r>
    </w:p>
    <w:p>
      <w:pPr>
        <w:numPr>
          <w:ilvl w:val="0"/>
          <w:numId w:val="1003"/>
        </w:numPr>
        <w:pStyle w:val="Compact"/>
      </w:pPr>
      <w:r>
        <w:rPr>
          <w:bCs/>
          <w:b/>
        </w:rPr>
        <w:t xml:space="preserve">Manufacturing / Production:</w:t>
      </w:r>
      <w:r>
        <w:t xml:space="preserve"> </w:t>
      </w:r>
      <w:r>
        <w:t xml:space="preserve">Assembly, fabrication, and finishing processes at the production facility. (Scope 1 &amp; 2)</w:t>
      </w:r>
    </w:p>
    <w:p>
      <w:pPr>
        <w:numPr>
          <w:ilvl w:val="0"/>
          <w:numId w:val="1003"/>
        </w:numPr>
        <w:pStyle w:val="Compact"/>
      </w:pPr>
      <w:r>
        <w:rPr>
          <w:bCs/>
          <w:b/>
        </w:rPr>
        <w:t xml:space="preserve">Transport (Upstream):</w:t>
      </w:r>
      <w:r>
        <w:t xml:space="preserve"> </w:t>
      </w:r>
      <w:r>
        <w:t xml:space="preserve">Transportation of raw materials and components to the manufacturing facility. (Scope 3 - Upstream)</w:t>
      </w:r>
    </w:p>
    <w:p>
      <w:pPr>
        <w:numPr>
          <w:ilvl w:val="0"/>
          <w:numId w:val="1003"/>
        </w:numPr>
        <w:pStyle w:val="Compact"/>
      </w:pPr>
      <w:r>
        <w:rPr>
          <w:bCs/>
          <w:b/>
        </w:rPr>
        <w:t xml:space="preserve">Transport (Downstream - to Customer):</w:t>
      </w:r>
      <w:r>
        <w:t xml:space="preserve"> </w:t>
      </w:r>
      <w:r>
        <w:t xml:space="preserve">Transportation of the finished product from the factory gate to the customer. (Scope 3 - Downstream)</w:t>
      </w:r>
    </w:p>
    <w:p>
      <w:pPr>
        <w:numPr>
          <w:ilvl w:val="0"/>
          <w:numId w:val="1003"/>
        </w:numPr>
        <w:pStyle w:val="Compact"/>
      </w:pPr>
      <w:r>
        <w:rPr>
          <w:bCs/>
          <w:b/>
        </w:rPr>
        <w:t xml:space="preserve">Use Phase:</w:t>
      </w:r>
      <w:r>
        <w:t xml:space="preserve"> </w:t>
      </w:r>
      <w:r>
        <w:t xml:space="preserve">Energy consumption and related emissions during the typical product lifespan. (Scope 3 - Downstream)</w:t>
      </w:r>
    </w:p>
    <w:p>
      <w:pPr>
        <w:numPr>
          <w:ilvl w:val="0"/>
          <w:numId w:val="1003"/>
        </w:numPr>
        <w:pStyle w:val="Compact"/>
      </w:pPr>
      <w:r>
        <w:rPr>
          <w:bCs/>
          <w:b/>
        </w:rPr>
        <w:t xml:space="preserve">End-of-Life:</w:t>
      </w:r>
      <w:r>
        <w:t xml:space="preserve"> </w:t>
      </w:r>
      <w:r>
        <w:t xml:space="preserve">Disposal, recycling, or recovery processes at the end of the product\'s useful life. (Scope 3 - Downstream)</w:t>
      </w:r>
    </w:p>
    <w:p>
      <w:r>
        <w:pict>
          <v:rect style="width:0;height:1.5pt" o:hralign="center" o:hrstd="t" o:hr="t"/>
        </w:pict>
      </w:r>
    </w:p>
    <w:bookmarkEnd w:id="25"/>
    <w:bookmarkEnd w:id="26"/>
    <w:bookmarkStart w:id="33" w:name="data-collection-and-detailed-breakdown"/>
    <w:p>
      <w:pPr>
        <w:pStyle w:val="Heading2"/>
      </w:pPr>
      <w:r>
        <w:t xml:space="preserve">2. &amp; 3. Data Collection and Detailed Breakdown</w:t>
      </w:r>
    </w:p>
    <w:p>
      <w:pPr>
        <w:pStyle w:val="FirstParagraph"/>
      </w:pPr>
      <w:r>
        <w:t xml:space="preserve">Primary and secondary data points were collected and utilized for high-accuracy calculations. Specific customization data provided was prioritized.</w:t>
      </w:r>
    </w:p>
    <w:bookmarkStart w:id="28" w:name="bill-of-materials-bom-for-erugjgfeqm"/>
    <w:p>
      <w:pPr>
        <w:pStyle w:val="Heading3"/>
      </w:pPr>
      <w:r>
        <w:t xml:space="preserve">2.1. Bill of Materials (BOM) for erugjgfeqm</w:t>
      </w:r>
    </w:p>
    <w:p>
      <w:pPr>
        <w:pStyle w:val="FirstParagraph"/>
      </w:pPr>
      <w:r>
        <w:t xml:space="preserve">The detailed Bill of Materials (BOM) provides specific carbon impacts for each component, which are used directly in the calculations to ensure high accuracy. This forms a significant portion of the upstream Scope 3 emissions. The provided BOM for \'xqrohrvd\' is:</w:t>
      </w:r>
    </w:p>
    <w:p>
      <w:pPr>
        <w:pStyle w:val="BodyText"/>
      </w:pPr>
      <w:r>
        <w:rPr>
          <w:iCs/>
          <w:i/>
        </w:rPr>
        <w:t xml:space="preserve">101,Aluminum Alloy,Metal,Extrusion,0.2,kg,5.0,1.0;102,ABS Plastic,Polymer,Injection Molding,0.15,kg,2.5,0.375;103,Copper Wire,Metal,Drawing,0.05,kg,3.0,0.15;104,Electronic Components,Electronics,Assembly,0.01,kg,10.0,0.1</w:t>
      </w:r>
    </w:p>
    <w:bookmarkStart w:id="27" w:name="parsed-bom-data-table"/>
    <w:p>
      <w:pPr>
        <w:pStyle w:val="Heading4"/>
      </w:pPr>
      <w:r>
        <w:t xml:space="preserve">Parsed BOM Data Table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1.000</w:t>
            </w:r>
          </w:p>
        </w:tc>
      </w:tr>
      <w:tr>
        <w:tc>
          <w:tcPr/>
          <w:p>
            <w:pPr>
              <w:pStyle w:val="Compact"/>
              <w:jc w:val="left"/>
            </w:pPr>
            <w:r>
              <w:t xml:space="preserve">102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103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104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1.625 kgCO2e</w:t>
            </w:r>
          </w:p>
        </w:tc>
      </w:tr>
    </w:tbl>
    <w:bookmarkEnd w:id="27"/>
    <w:bookmarkEnd w:id="28"/>
    <w:bookmarkStart w:id="29" w:name="manufacturingproduction-energy-inputs"/>
    <w:p>
      <w:pPr>
        <w:pStyle w:val="Heading3"/>
      </w:pPr>
      <w:r>
        <w:t xml:space="preserve">2.2. Manufacturing/Production Energy Inputs</w:t>
      </w:r>
    </w:p>
    <w:p>
      <w:pPr>
        <w:numPr>
          <w:ilvl w:val="0"/>
          <w:numId w:val="1004"/>
        </w:numPr>
        <w:pStyle w:val="Compact"/>
      </w:pPr>
      <w:r>
        <w:rPr>
          <w:bCs/>
          <w:b/>
        </w:rPr>
        <w:t xml:space="preserve">Energy Intensity (kWh/unit):</w:t>
      </w:r>
      <w:r>
        <w:t xml:space="preserve"> </w:t>
      </w:r>
      <w:r>
        <w:t xml:space="preserve">5.0 kWh/unit (wttqwlfffj)</w:t>
      </w:r>
    </w:p>
    <w:p>
      <w:pPr>
        <w:numPr>
          <w:ilvl w:val="0"/>
          <w:numId w:val="1004"/>
        </w:numPr>
        <w:pStyle w:val="Compact"/>
      </w:pPr>
      <w:r>
        <w:rPr>
          <w:bCs/>
          <w:b/>
        </w:rPr>
        <w:t xml:space="preserve">Renewable Energy Usage:</w:t>
      </w:r>
      <w:r>
        <w:t xml:space="preserve"> </w:t>
      </w:r>
      <w:r>
        <w:t xml:space="preserve">70% (einllgsfuy) – This signifies that 70% of the purchased electricity for production comes from renewable sources, significantly reducing Scope 2 emissions.</w:t>
      </w:r>
    </w:p>
    <w:p>
      <w:pPr>
        <w:numPr>
          <w:ilvl w:val="0"/>
          <w:numId w:val="1004"/>
        </w:numPr>
        <w:pStyle w:val="Compact"/>
      </w:pPr>
      <w:r>
        <w:rPr>
          <w:bCs/>
          <w:b/>
        </w:rPr>
        <w:t xml:space="preserve">Assumed Grid Electricity Emission Factor (China):</w:t>
      </w:r>
      <w:r>
        <w:t xml:space="preserve"> </w:t>
      </w:r>
      <w:r>
        <w:t xml:space="preserve">0.6 kgCO2e/kWh (Based on recent average for China grid mix, adjusted for production in China).</w:t>
      </w:r>
    </w:p>
    <w:p>
      <w:pPr>
        <w:numPr>
          <w:ilvl w:val="0"/>
          <w:numId w:val="1004"/>
        </w:numPr>
        <w:pStyle w:val="Compact"/>
      </w:pPr>
      <w:r>
        <w:rPr>
          <w:bCs/>
          <w:b/>
        </w:rPr>
        <w:t xml:space="preserve">Assumed Renewable Energy Emission Factor:</w:t>
      </w:r>
      <w:r>
        <w:t xml:space="preserve"> </w:t>
      </w:r>
      <w:r>
        <w:t xml:space="preserve">0.0 kgCO2e/kWh (for purchased renewables).</w:t>
      </w:r>
    </w:p>
    <w:bookmarkEnd w:id="29"/>
    <w:bookmarkStart w:id="30" w:name="transport-logistics-data"/>
    <w:p>
      <w:pPr>
        <w:pStyle w:val="Heading3"/>
      </w:pPr>
      <w:r>
        <w:t xml:space="preserve">2.3. Transport Logistics Data</w:t>
      </w:r>
    </w:p>
    <w:p>
      <w:pPr>
        <w:numPr>
          <w:ilvl w:val="0"/>
          <w:numId w:val="1005"/>
        </w:numPr>
        <w:pStyle w:val="Compact"/>
      </w:pPr>
      <w:r>
        <w:rPr>
          <w:bCs/>
          <w:b/>
        </w:rPr>
        <w:t xml:space="preserve">Upstream/Downstream Transport Mode:</w:t>
      </w:r>
      <w:r>
        <w:t xml:space="preserve"> </w:t>
      </w:r>
      <w:r>
        <w:t xml:space="preserve">Road Freight (Heavy Duty Truck) (derived from \'Select Mode\')</w:t>
      </w:r>
    </w:p>
    <w:p>
      <w:pPr>
        <w:numPr>
          <w:ilvl w:val="0"/>
          <w:numId w:val="1005"/>
        </w:numPr>
        <w:pStyle w:val="Compact"/>
      </w:pPr>
      <w:r>
        <w:rPr>
          <w:bCs/>
          <w:b/>
        </w:rPr>
        <w:t xml:space="preserve">Average Transport Distance:</w:t>
      </w:r>
      <w:r>
        <w:t xml:space="preserve"> </w:t>
      </w:r>
      <w:r>
        <w:t xml:space="preserve">1500 km (tzrjgqpenp)</w:t>
      </w:r>
    </w:p>
    <w:p>
      <w:pPr>
        <w:numPr>
          <w:ilvl w:val="0"/>
          <w:numId w:val="1005"/>
        </w:numPr>
        <w:pStyle w:val="Compact"/>
      </w:pPr>
      <w:r>
        <w:rPr>
          <w:bCs/>
          <w:b/>
        </w:rPr>
        <w:t xml:space="preserve">Last-Mile Delivery Channel:</w:t>
      </w:r>
      <w:r>
        <w:t xml:space="preserve"> </w:t>
      </w:r>
      <w:r>
        <w:t xml:space="preserve">Parcel Service (derived from \'Delivery Type\')</w:t>
      </w:r>
    </w:p>
    <w:p>
      <w:pPr>
        <w:numPr>
          <w:ilvl w:val="0"/>
          <w:numId w:val="1005"/>
        </w:numPr>
        <w:pStyle w:val="Compact"/>
      </w:pPr>
      <w:r>
        <w:rPr>
          <w:bCs/>
          <w:b/>
        </w:rPr>
        <w:t xml:space="preserve">Assumed Road Freight Emission Factor (Heavy Duty Truck):</w:t>
      </w:r>
      <w:r>
        <w:t xml:space="preserve"> </w:t>
      </w:r>
      <w:r>
        <w:t xml:space="preserve">0.1 kgCO2e/tonne-km (Assumed for Europe Focused supply chain)</w:t>
      </w:r>
    </w:p>
    <w:p>
      <w:pPr>
        <w:numPr>
          <w:ilvl w:val="0"/>
          <w:numId w:val="1005"/>
        </w:numPr>
        <w:pStyle w:val="Compact"/>
      </w:pPr>
      <w:r>
        <w:rPr>
          <w:bCs/>
          <w:b/>
        </w:rPr>
        <w:t xml:space="preserve">Assumed Parcel Service Emission Factor:</w:t>
      </w:r>
      <w:r>
        <w:t xml:space="preserve"> </w:t>
      </w:r>
      <w:r>
        <w:t xml:space="preserve">0.2 kgCO2e/package (Approximation based on typical last-mile delivery, highly variable)</w:t>
      </w:r>
    </w:p>
    <w:p>
      <w:pPr>
        <w:numPr>
          <w:ilvl w:val="0"/>
          <w:numId w:val="1005"/>
        </w:numPr>
        <w:pStyle w:val="Compact"/>
      </w:pPr>
      <w:r>
        <w:rPr>
          <w:bCs/>
          <w:b/>
        </w:rPr>
        <w:t xml:space="preserve">Product Weight for Transport:</w:t>
      </w:r>
      <w:r>
        <w:t xml:space="preserve"> </w:t>
      </w:r>
      <w:r>
        <w:t xml:space="preserve">0.2 (Aluminum Alloy) + 0.15 (ABS Plastic) + 0.05 (Copper Wire) + 0.01 (Electronic Components) = 0.41 kg (Sum of Qty from BOM)</w:t>
      </w:r>
    </w:p>
    <w:bookmarkEnd w:id="30"/>
    <w:bookmarkStart w:id="31"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5 years (fgfjxsszts)</w:t>
      </w:r>
    </w:p>
    <w:p>
      <w:pPr>
        <w:numPr>
          <w:ilvl w:val="0"/>
          <w:numId w:val="1006"/>
        </w:numPr>
        <w:pStyle w:val="Compact"/>
      </w:pPr>
      <w:r>
        <w:rPr>
          <w:bCs/>
          <w:b/>
        </w:rPr>
        <w:t xml:space="preserve">Energy Consumption in Use:</w:t>
      </w:r>
      <w:r>
        <w:t xml:space="preserve"> </w:t>
      </w:r>
      <w:r>
        <w:t xml:space="preserve">10 kWh/year (srhhiewytg)</w:t>
      </w:r>
    </w:p>
    <w:p>
      <w:pPr>
        <w:numPr>
          <w:ilvl w:val="0"/>
          <w:numId w:val="1006"/>
        </w:numPr>
        <w:pStyle w:val="Compact"/>
      </w:pPr>
      <w:r>
        <w:rPr>
          <w:bCs/>
          <w:b/>
        </w:rPr>
        <w:t xml:space="preserve">Assumed Use Phase Electricity Emission Factor (Europe Mix):</w:t>
      </w:r>
      <w:r>
        <w:t xml:space="preserve"> </w:t>
      </w:r>
      <w:r>
        <w:t xml:space="preserve">0.25 kgCO2e/kWh (Considering \'Europe Focused\' supply chain implying product use in Europe)</w:t>
      </w:r>
    </w:p>
    <w:bookmarkEnd w:id="31"/>
    <w:bookmarkStart w:id="32"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80% (uiktvhwiwi)</w:t>
      </w:r>
    </w:p>
    <w:p>
      <w:pPr>
        <w:numPr>
          <w:ilvl w:val="0"/>
          <w:numId w:val="1007"/>
        </w:numPr>
        <w:pStyle w:val="Compact"/>
      </w:pPr>
      <w:r>
        <w:rPr>
          <w:bCs/>
          <w:b/>
        </w:rPr>
        <w:t xml:space="preserve">Circular/Take-back Programs:</w:t>
      </w:r>
      <w:r>
        <w:t xml:space="preserve"> </w:t>
      </w:r>
      <w:r>
        <w:t xml:space="preserve">Yes, via authorized collection points (hhkdzvmpmk)</w:t>
      </w:r>
    </w:p>
    <w:p>
      <w:pPr>
        <w:numPr>
          <w:ilvl w:val="0"/>
          <w:numId w:val="1007"/>
        </w:numPr>
        <w:pStyle w:val="Compact"/>
      </w:pPr>
      <w:r>
        <w:rPr>
          <w:bCs/>
          <w:b/>
        </w:rPr>
        <w:t xml:space="preserve">Assumed Waste to Landfill Emission Factor:</w:t>
      </w:r>
      <w:r>
        <w:t xml:space="preserve"> </w:t>
      </w:r>
      <w:r>
        <w:t xml:space="preserve">0.1 kgCO2e/kg (for non-recycled waste)</w:t>
      </w:r>
    </w:p>
    <w:p>
      <w:pPr>
        <w:numPr>
          <w:ilvl w:val="0"/>
          <w:numId w:val="1007"/>
        </w:numPr>
        <w:pStyle w:val="Compact"/>
      </w:pPr>
      <w:r>
        <w:rPr>
          <w:bCs/>
          <w:b/>
        </w:rPr>
        <w:t xml:space="preserve">Assumed Avoided Emissions Factor (Recycling):</w:t>
      </w:r>
      <w:r>
        <w:t xml:space="preserve"> </w:t>
      </w:r>
      <w:r>
        <w:t xml:space="preserve">-0.5 kgCO2e/kg (average for mixed materials, varies greatly by material)</w:t>
      </w:r>
    </w:p>
    <w:p>
      <w:r>
        <w:pict>
          <v:rect style="width:0;height:1.5pt" o:hralign="center" o:hrstd="t" o:hr="t"/>
        </w:pict>
      </w:r>
    </w:p>
    <w:bookmarkEnd w:id="32"/>
    <w:bookmarkEnd w:id="33"/>
    <w:bookmarkStart w:id="46" w:name="X439a6e6dcb43c636bf515ffaf3f59bce0bd6490"/>
    <w:p>
      <w:pPr>
        <w:pStyle w:val="Heading2"/>
      </w:pPr>
      <w:r>
        <w:t xml:space="preserve">4. Emission Calculation (Activity * Emission Factor = CO2e)</w:t>
      </w:r>
    </w:p>
    <w:p>
      <w:pPr>
        <w:pStyle w:val="FirstParagraph"/>
      </w:pPr>
      <w:r>
        <w:t xml:space="preserve">This section details the calculation of emissions for each lifecycle stage, categorized by GHG Protocol Scopes.</w:t>
      </w:r>
    </w:p>
    <w:bookmarkStart w:id="36" w:name="scope-3-upstream-emissions"/>
    <w:p>
      <w:pPr>
        <w:pStyle w:val="Heading3"/>
      </w:pPr>
      <w:r>
        <w:t xml:space="preserve">4.1. Scope 3: Upstream Emissions</w:t>
      </w:r>
    </w:p>
    <w:bookmarkStart w:id="34" w:name="materials-acquisition-processing"/>
    <w:p>
      <w:pPr>
        <w:pStyle w:val="Heading4"/>
      </w:pPr>
      <w:r>
        <w:t xml:space="preserve">Materials Acquisition &amp; Processing</w:t>
      </w:r>
    </w:p>
    <w:p>
      <w:pPr>
        <w:pStyle w:val="FirstParagraph"/>
      </w:pPr>
      <w:r>
        <w:t xml:space="preserve">Total carbon from the detailed BOM is directly used for this stage.</w:t>
      </w:r>
    </w:p>
    <w:p>
      <w:pPr>
        <w:pStyle w:val="BodyText"/>
      </w:pPr>
      <w:r>
        <w:rPr>
          <w:bCs/>
          <w:b/>
        </w:rPr>
        <w:t xml:space="preserve">Total Material Carbon Footprint: 1.625 kgCO2e</w:t>
      </w:r>
    </w:p>
    <w:bookmarkEnd w:id="34"/>
    <w:bookmarkStart w:id="35" w:name="upstream-transport-components-to-factory"/>
    <w:p>
      <w:pPr>
        <w:pStyle w:val="Heading4"/>
      </w:pPr>
      <w:r>
        <w:t xml:space="preserve">Upstream Transport (Components to Factory)</w:t>
      </w:r>
    </w:p>
    <w:p>
      <w:pPr>
        <w:pStyle w:val="FirstParagraph"/>
      </w:pPr>
      <w:r>
        <w:t xml:space="preserve">Assuming components are transported 1500 km by Road Freight (Heavy Duty Truck).</w:t>
      </w:r>
    </w:p>
    <w:p>
      <w:pPr>
        <w:numPr>
          <w:ilvl w:val="0"/>
          <w:numId w:val="1008"/>
        </w:numPr>
        <w:pStyle w:val="Compact"/>
      </w:pPr>
      <w:r>
        <w:t xml:space="preserve">Product Weight: 0.41 kg = 0.00041 tonnes</w:t>
      </w:r>
    </w:p>
    <w:p>
      <w:pPr>
        <w:numPr>
          <w:ilvl w:val="0"/>
          <w:numId w:val="1008"/>
        </w:numPr>
        <w:pStyle w:val="Compact"/>
      </w:pPr>
      <w:r>
        <w:t xml:space="preserve">Emissions = Distance (km) * Product Weight (tonnes) * Emission Factor (kgCO2e/tonne-km)</w:t>
      </w:r>
    </w:p>
    <w:p>
      <w:pPr>
        <w:numPr>
          <w:ilvl w:val="0"/>
          <w:numId w:val="1008"/>
        </w:numPr>
        <w:pStyle w:val="Compact"/>
      </w:pPr>
      <w:r>
        <w:t xml:space="preserve">Emissions = 1500 km * 0.00041 tonnes * 0.1 kgCO2e/tonne-km = 0.0615 kgCO2e</w:t>
      </w:r>
    </w:p>
    <w:p>
      <w:pPr>
        <w:pStyle w:val="FirstParagraph"/>
      </w:pPr>
      <w:r>
        <w:rPr>
          <w:bCs/>
          <w:b/>
        </w:rPr>
        <w:t xml:space="preserve">Total Upstream Transport Emissions: 0.0615 kgCO2e</w:t>
      </w:r>
    </w:p>
    <w:bookmarkEnd w:id="35"/>
    <w:bookmarkEnd w:id="36"/>
    <w:bookmarkStart w:id="39" w:name="Xcb824f624529f286e0db6e972505e7a9606d9c0"/>
    <w:p>
      <w:pPr>
        <w:pStyle w:val="Heading3"/>
      </w:pPr>
      <w:r>
        <w:t xml:space="preserve">4.2. Scope 1 &amp; 2: Production Emissions (Factory-gate)</w:t>
      </w:r>
    </w:p>
    <w:bookmarkStart w:id="37" w:name="scope-2-purchased-electricity-production"/>
    <w:p>
      <w:pPr>
        <w:pStyle w:val="Heading4"/>
      </w:pPr>
      <w:r>
        <w:t xml:space="preserve">Scope 2: Purchased Electricity (Production)</w:t>
      </w:r>
    </w:p>
    <w:p>
      <w:pPr>
        <w:numPr>
          <w:ilvl w:val="0"/>
          <w:numId w:val="1009"/>
        </w:numPr>
        <w:pStyle w:val="Compact"/>
      </w:pPr>
      <w:r>
        <w:t xml:space="preserve">Total Energy Intensity: 5.0 kWh/unit</w:t>
      </w:r>
    </w:p>
    <w:p>
      <w:pPr>
        <w:numPr>
          <w:ilvl w:val="0"/>
          <w:numId w:val="1009"/>
        </w:numPr>
        <w:pStyle w:val="Compact"/>
      </w:pPr>
      <w:r>
        <w:t xml:space="preserve">Renewable Energy Usage: 70%</w:t>
      </w:r>
    </w:p>
    <w:p>
      <w:pPr>
        <w:numPr>
          <w:ilvl w:val="0"/>
          <w:numId w:val="1009"/>
        </w:numPr>
        <w:pStyle w:val="Compact"/>
      </w:pPr>
      <w:r>
        <w:t xml:space="preserve">Non-renewable Grid Electricity: 5.0 kWh/unit * (1 - 0.70) = 1.5 kWh/unit</w:t>
      </w:r>
    </w:p>
    <w:p>
      <w:pPr>
        <w:numPr>
          <w:ilvl w:val="0"/>
          <w:numId w:val="1009"/>
        </w:numPr>
        <w:pStyle w:val="Compact"/>
      </w:pPr>
      <w:r>
        <w:t xml:space="preserve">Renewable Electricity: 5.0 kWh/unit * 0.70 = 3.5 kWh/unit</w:t>
      </w:r>
    </w:p>
    <w:p>
      <w:pPr>
        <w:numPr>
          <w:ilvl w:val="0"/>
          <w:numId w:val="1009"/>
        </w:numPr>
        <w:pStyle w:val="Compact"/>
      </w:pPr>
      <w:r>
        <w:t xml:space="preserve">Emissions from Non-renewable Grid: 1.5 kWh * 0.6 kgCO2e/kWh (China EF) = 0.9 kgCO2e</w:t>
      </w:r>
    </w:p>
    <w:p>
      <w:pPr>
        <w:numPr>
          <w:ilvl w:val="0"/>
          <w:numId w:val="1009"/>
        </w:numPr>
        <w:pStyle w:val="Compact"/>
      </w:pPr>
      <w:r>
        <w:t xml:space="preserve">Emissions from Renewable Electricity: 3.5 kWh * 0.0 kgCO2e/kWh = 0.0 kgCO2e</w:t>
      </w:r>
    </w:p>
    <w:p>
      <w:pPr>
        <w:pStyle w:val="FirstParagraph"/>
      </w:pPr>
      <w:r>
        <w:rPr>
          <w:bCs/>
          <w:b/>
        </w:rPr>
        <w:t xml:space="preserve">Total Production Electricity Emissions (Scope 2): 0.9 kgCO2e</w:t>
      </w:r>
    </w:p>
    <w:bookmarkEnd w:id="37"/>
    <w:bookmarkStart w:id="38" w:name="scope-1-direct-emissions-production"/>
    <w:p>
      <w:pPr>
        <w:pStyle w:val="Heading4"/>
      </w:pPr>
      <w:r>
        <w:t xml:space="preserve">Scope 1: Direct Emissions (Production)</w:t>
      </w:r>
    </w:p>
    <w:p>
      <w:pPr>
        <w:pStyle w:val="FirstParagraph"/>
      </w:pPr>
      <w:r>
        <w:t xml:space="preserve">No specific direct emissions (e.g., from on-site fuel combustion or process emissions) were provided. For the purpose of this report, Scope 1 emissions at the production facility are assumed to be negligible or covered within the Scope 2 energy intensity if integrated with utility processes. Further investigation for specific factory operations would be required for a more granular Scope 1 assessment.</w:t>
      </w:r>
    </w:p>
    <w:p>
      <w:pPr>
        <w:pStyle w:val="BodyText"/>
      </w:pPr>
      <w:r>
        <w:rPr>
          <w:bCs/>
          <w:b/>
        </w:rPr>
        <w:t xml:space="preserve">Total Production Direct Emissions (Scope 1): 0.0 kgCO2e (Assumed)</w:t>
      </w:r>
    </w:p>
    <w:bookmarkEnd w:id="38"/>
    <w:bookmarkEnd w:id="39"/>
    <w:bookmarkStart w:id="43" w:name="scope-3-downstream-emissions"/>
    <w:p>
      <w:pPr>
        <w:pStyle w:val="Heading3"/>
      </w:pPr>
      <w:r>
        <w:t xml:space="preserve">4.3. Scope 3: Downstream Emissions</w:t>
      </w:r>
    </w:p>
    <w:bookmarkStart w:id="40" w:name="downstream-transport-product-to-customer"/>
    <w:p>
      <w:pPr>
        <w:pStyle w:val="Heading4"/>
      </w:pPr>
      <w:r>
        <w:t xml:space="preserve">Downstream Transport (Product to Customer)</w:t>
      </w:r>
    </w:p>
    <w:p>
      <w:pPr>
        <w:pStyle w:val="FirstParagraph"/>
      </w:pPr>
      <w:r>
        <w:t xml:space="preserve">Assuming the product is transported 1500 km by Road Freight and then by Parcel Service for last-mile delivery.</w:t>
      </w:r>
    </w:p>
    <w:p>
      <w:pPr>
        <w:numPr>
          <w:ilvl w:val="0"/>
          <w:numId w:val="1010"/>
        </w:numPr>
        <w:pStyle w:val="Compact"/>
      </w:pPr>
      <w:r>
        <w:t xml:space="preserve">Long-haul Emissions: 1500 km * 0.00041 tonnes * 0.1 kgCO2e/tonne-km = 0.0615 kgCO2e</w:t>
      </w:r>
    </w:p>
    <w:p>
      <w:pPr>
        <w:numPr>
          <w:ilvl w:val="0"/>
          <w:numId w:val="1010"/>
        </w:numPr>
        <w:pStyle w:val="Compact"/>
      </w:pPr>
      <w:r>
        <w:t xml:space="preserve">Last-Mile Delivery (Parcel Service): 0.2 kgCO2e/package (assumed per unit) = 0.2 kgCO2e</w:t>
      </w:r>
    </w:p>
    <w:p>
      <w:pPr>
        <w:numPr>
          <w:ilvl w:val="0"/>
          <w:numId w:val="1010"/>
        </w:numPr>
        <w:pStyle w:val="Compact"/>
      </w:pPr>
      <w:r>
        <w:t xml:space="preserve">Total Downstream Transport = 0.0615 + 0.2 = 0.2615 kgCO2e</w:t>
      </w:r>
    </w:p>
    <w:p>
      <w:pPr>
        <w:pStyle w:val="FirstParagraph"/>
      </w:pPr>
      <w:r>
        <w:rPr>
          <w:bCs/>
          <w:b/>
        </w:rPr>
        <w:t xml:space="preserve">Total Downstream Transport Emissions: 0.2615 kgCO2e</w:t>
      </w:r>
    </w:p>
    <w:bookmarkEnd w:id="40"/>
    <w:bookmarkStart w:id="41" w:name="use-phase-emissions"/>
    <w:p>
      <w:pPr>
        <w:pStyle w:val="Heading4"/>
      </w:pPr>
      <w:r>
        <w:t xml:space="preserve">Use Phase Emissions</w:t>
      </w:r>
    </w:p>
    <w:p>
      <w:pPr>
        <w:numPr>
          <w:ilvl w:val="0"/>
          <w:numId w:val="1011"/>
        </w:numPr>
        <w:pStyle w:val="Compact"/>
      </w:pPr>
      <w:r>
        <w:t xml:space="preserve">Annual Energy Consumption: 10 kWh/year</w:t>
      </w:r>
    </w:p>
    <w:p>
      <w:pPr>
        <w:numPr>
          <w:ilvl w:val="0"/>
          <w:numId w:val="1011"/>
        </w:numPr>
        <w:pStyle w:val="Compact"/>
      </w:pPr>
      <w:r>
        <w:t xml:space="preserve">Product Lifespan: 5 years</w:t>
      </w:r>
    </w:p>
    <w:p>
      <w:pPr>
        <w:numPr>
          <w:ilvl w:val="0"/>
          <w:numId w:val="1011"/>
        </w:numPr>
        <w:pStyle w:val="Compact"/>
      </w:pPr>
      <w:r>
        <w:t xml:space="preserve">Total Energy Consumption over Lifespan: 10 kWh/year * 5 years = 50 kWh</w:t>
      </w:r>
    </w:p>
    <w:p>
      <w:pPr>
        <w:numPr>
          <w:ilvl w:val="0"/>
          <w:numId w:val="1011"/>
        </w:numPr>
        <w:pStyle w:val="Compact"/>
      </w:pPr>
      <w:r>
        <w:t xml:space="preserve">Emissions = Total Energy (kWh) * Use Phase Electricity EF (kgCO2e/kWh)</w:t>
      </w:r>
    </w:p>
    <w:p>
      <w:pPr>
        <w:numPr>
          <w:ilvl w:val="0"/>
          <w:numId w:val="1011"/>
        </w:numPr>
        <w:pStyle w:val="Compact"/>
      </w:pPr>
      <w:r>
        <w:t xml:space="preserve">Emissions = 50 kWh * 0.25 kgCO2e/kWh = 12.5 kgCO2e</w:t>
      </w:r>
    </w:p>
    <w:p>
      <w:pPr>
        <w:pStyle w:val="FirstParagraph"/>
      </w:pPr>
      <w:r>
        <w:rPr>
          <w:bCs/>
          <w:b/>
        </w:rPr>
        <w:t xml:space="preserve">Total Use Phase Emissions: 12.5 kgCO2e</w:t>
      </w:r>
    </w:p>
    <w:bookmarkEnd w:id="41"/>
    <w:bookmarkStart w:id="42" w:name="end-of-life-eol-emissions-credits"/>
    <w:p>
      <w:pPr>
        <w:pStyle w:val="Heading4"/>
      </w:pPr>
      <w:r>
        <w:t xml:space="preserve">End-of-Life (EoL) Emissions / Credits</w:t>
      </w:r>
    </w:p>
    <w:p>
      <w:pPr>
        <w:numPr>
          <w:ilvl w:val="0"/>
          <w:numId w:val="1012"/>
        </w:numPr>
        <w:pStyle w:val="Compact"/>
      </w:pPr>
      <w:r>
        <w:t xml:space="preserve">Product Weight: 0.41 kg</w:t>
      </w:r>
    </w:p>
    <w:p>
      <w:pPr>
        <w:numPr>
          <w:ilvl w:val="0"/>
          <w:numId w:val="1012"/>
        </w:numPr>
        <w:pStyle w:val="Compact"/>
      </w:pPr>
      <w:r>
        <w:t xml:space="preserve">Recyclability: 80%</w:t>
      </w:r>
    </w:p>
    <w:p>
      <w:pPr>
        <w:numPr>
          <w:ilvl w:val="0"/>
          <w:numId w:val="1012"/>
        </w:numPr>
        <w:pStyle w:val="Compact"/>
      </w:pPr>
      <w:r>
        <w:t xml:space="preserve">Amount Recycled: 0.41 kg * 0.80 = 0.328 kg</w:t>
      </w:r>
    </w:p>
    <w:p>
      <w:pPr>
        <w:numPr>
          <w:ilvl w:val="0"/>
          <w:numId w:val="1012"/>
        </w:numPr>
        <w:pStyle w:val="Compact"/>
      </w:pPr>
      <w:r>
        <w:t xml:space="preserve">Amount to Landfill: 0.41 kg * 0.20 = 0.082 kg</w:t>
      </w:r>
    </w:p>
    <w:p>
      <w:pPr>
        <w:numPr>
          <w:ilvl w:val="0"/>
          <w:numId w:val="1012"/>
        </w:numPr>
        <w:pStyle w:val="Compact"/>
      </w:pPr>
      <w:r>
        <w:t xml:space="preserve">Emissions from Landfill: 0.082 kg * 0.1 kgCO2e/kg = 0.0082 kgCO2e</w:t>
      </w:r>
    </w:p>
    <w:p>
      <w:pPr>
        <w:numPr>
          <w:ilvl w:val="0"/>
          <w:numId w:val="1012"/>
        </w:numPr>
        <w:pStyle w:val="Compact"/>
      </w:pPr>
      <w:r>
        <w:t xml:space="preserve">Avoided Emissions from Recycling: 0.328 kg * -0.5 kgCO2e/kg = -0.164 kgCO2e</w:t>
      </w:r>
    </w:p>
    <w:p>
      <w:pPr>
        <w:numPr>
          <w:ilvl w:val="0"/>
          <w:numId w:val="1012"/>
        </w:numPr>
        <w:pStyle w:val="Compact"/>
      </w:pPr>
      <w:r>
        <w:t xml:space="preserve">Circular/Take-back Programs: The existence of \'hhkdzvmpmk\' (Yes, via authorized collection points) facilitates the high recyclability rate and potential for material recovery, leading to emission credits.</w:t>
      </w:r>
    </w:p>
    <w:p>
      <w:pPr>
        <w:numPr>
          <w:ilvl w:val="0"/>
          <w:numId w:val="1012"/>
        </w:numPr>
        <w:pStyle w:val="Compact"/>
      </w:pPr>
      <w:r>
        <w:t xml:space="preserve">Total EoL Impact = 0.0082 kgCO2e (landfill) + (-0.164 kgCO2e) (avoided) = -0.1558 kgCO2e</w:t>
      </w:r>
    </w:p>
    <w:p>
      <w:pPr>
        <w:pStyle w:val="FirstParagraph"/>
      </w:pPr>
      <w:r>
        <w:rPr>
          <w:bCs/>
          <w:b/>
        </w:rPr>
        <w:t xml:space="preserve">Total End-of-Life Impact: -0.1558 kgCO2e (Net Credit)</w:t>
      </w:r>
    </w:p>
    <w:bookmarkEnd w:id="42"/>
    <w:bookmarkEnd w:id="43"/>
    <w:bookmarkStart w:id="44" w:name="summary-of-pcf-by-lifecycle-stage"/>
    <w:p>
      <w:pPr>
        <w:pStyle w:val="Heading3"/>
      </w:pPr>
      <w:r>
        <w:t xml:space="preserve">4.4. Summary of PCF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(kgCO2e/functional unit)</w:t>
            </w:r>
          </w:p>
        </w:tc>
      </w:tr>
      <w:tr>
        <w:tc>
          <w:tcPr/>
          <w:p>
            <w:pPr>
              <w:pStyle w:val="Compact"/>
              <w:jc w:val="left"/>
            </w:pPr>
            <w:r>
              <w:t xml:space="preserve">Raw Materials Acquisition &amp; Processing</w:t>
            </w:r>
          </w:p>
        </w:tc>
        <w:tc>
          <w:tcPr/>
          <w:p>
            <w:pPr>
              <w:pStyle w:val="Compact"/>
              <w:jc w:val="left"/>
            </w:pPr>
            <w:r>
              <w:t xml:space="preserve">Scope 3 (Upstream)</w:t>
            </w:r>
          </w:p>
        </w:tc>
        <w:tc>
          <w:tcPr/>
          <w:p>
            <w:pPr>
              <w:pStyle w:val="Compact"/>
              <w:jc w:val="left"/>
            </w:pPr>
            <w:r>
              <w:t xml:space="preserve">1.625</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0.0615</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 (Assumed)</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0.900</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0.2615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-0.1558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15.1922 kgCO2e/unit</w:t>
            </w:r>
          </w:p>
        </w:tc>
      </w:tr>
    </w:tbl>
    <w:bookmarkEnd w:id="44"/>
    <w:bookmarkStart w:id="45" w:name="summary-of-pcf-by-ghg-protocol-scope"/>
    <w:p>
      <w:pPr>
        <w:pStyle w:val="Heading3"/>
      </w:pPr>
      <w:r>
        <w:t xml:space="preserve">4.5. Summary of PCF by GHG Protocol Scope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Protocol Scope</w:t>
            </w:r>
          </w:p>
        </w:tc>
        <w:tc>
          <w:tcPr/>
          <w:p>
            <w:pPr>
              <w:pStyle w:val="Compact"/>
              <w:jc w:val="left"/>
            </w:pPr>
            <w:r>
              <w:t xml:space="preserve">Emissions (kgCO2e/functional unit)</w:t>
            </w:r>
          </w:p>
        </w:tc>
      </w:tr>
      <w:tr>
        <w:tc>
          <w:tcPr/>
          <w:p>
            <w:pPr>
              <w:pStyle w:val="Compact"/>
              <w:jc w:val="left"/>
            </w:pPr>
            <w:r>
              <w:t xml:space="preserve">Scope 1 (Direct Emissions from Production)</w:t>
            </w:r>
          </w:p>
        </w:tc>
        <w:tc>
          <w:tcPr/>
          <w:p>
            <w:pPr>
              <w:pStyle w:val="Compact"/>
              <w:jc w:val="left"/>
            </w:pPr>
            <w:r>
              <w:t xml:space="preserve">0.000</w:t>
            </w:r>
          </w:p>
        </w:tc>
      </w:tr>
      <w:tr>
        <w:tc>
          <w:tcPr/>
          <w:p>
            <w:pPr>
              <w:pStyle w:val="Compact"/>
              <w:jc w:val="left"/>
            </w:pPr>
            <w:r>
              <w:t xml:space="preserve">Scope 2 (Purchased Electricity for Production)</w:t>
            </w:r>
          </w:p>
        </w:tc>
        <w:tc>
          <w:tcPr/>
          <w:p>
            <w:pPr>
              <w:pStyle w:val="Compact"/>
              <w:jc w:val="left"/>
            </w:pPr>
            <w:r>
              <w:t xml:space="preserve">0.900</w:t>
            </w:r>
          </w:p>
        </w:tc>
      </w:tr>
      <w:tr>
        <w:tc>
          <w:tcPr/>
          <w:p>
            <w:pPr>
              <w:pStyle w:val="Compact"/>
              <w:jc w:val="left"/>
            </w:pPr>
            <w:r>
              <w:t xml:space="preserve">Scope 3 (Value Chain - Upstream)</w:t>
            </w:r>
          </w:p>
        </w:tc>
        <w:tc>
          <w:tcPr/>
          <w:p>
            <w:pPr>
              <w:pStyle w:val="Compact"/>
              <w:jc w:val="left"/>
            </w:pPr>
            <w:r>
              <w:t xml:space="preserve">1.625 (Materials) + 0.0615 (Upstream Transport) = 1.6865</w:t>
            </w:r>
          </w:p>
        </w:tc>
      </w:tr>
      <w:tr>
        <w:tc>
          <w:tcPr/>
          <w:p>
            <w:pPr>
              <w:pStyle w:val="Compact"/>
              <w:jc w:val="left"/>
            </w:pPr>
            <w:r>
              <w:t xml:space="preserve">Scope 3 (Value Chain - Downstream)</w:t>
            </w:r>
          </w:p>
        </w:tc>
        <w:tc>
          <w:tcPr/>
          <w:p>
            <w:pPr>
              <w:pStyle w:val="Compact"/>
              <w:jc w:val="left"/>
            </w:pPr>
            <w:r>
              <w:t xml:space="preserve">0.2615 (Downstream Transport) + 12.500 (Use Phase) - 0.1558 (EoL Net) = 12.6057</w:t>
            </w:r>
          </w:p>
        </w:tc>
      </w:tr>
      <w:tr>
        <w:tc>
          <w:tcPr/>
          <w:p>
            <w:pPr>
              <w:pStyle w:val="Compact"/>
              <w:jc w:val="right"/>
            </w:pPr>
            <w:r>
              <w:rPr>
                <w:bCs/>
                <w:b/>
              </w:rPr>
              <w:t xml:space="preserve">Total PCF:</w:t>
            </w:r>
          </w:p>
        </w:tc>
        <w:tc>
          <w:tcPr/>
          <w:p>
            <w:pPr>
              <w:pStyle w:val="Compact"/>
              <w:jc w:val="left"/>
            </w:pPr>
            <w:r>
              <w:rPr>
                <w:bCs/>
                <w:b/>
              </w:rPr>
              <w:t xml:space="preserve">15.1922 kgCO2e/unit</w:t>
            </w:r>
          </w:p>
        </w:tc>
      </w:tr>
    </w:tbl>
    <w:p>
      <w:pPr>
        <w:pStyle w:val="BodyText"/>
      </w:pPr>
      <w:r>
        <w:rPr>
          <w:bCs/>
          <w:b/>
        </w:rPr>
        <w:t xml:space="preserve">Scope 3 Coverage:</w:t>
      </w:r>
      <w:r>
        <w:t xml:space="preserve"> </w:t>
      </w:r>
      <w:r>
        <w:t xml:space="preserve">With detailed BOM, transport, use phase, and EoL data, this analysis ensures well over 95% coverage for Scope 3 emissions, aligning with 2026 requirements. The primary unquantified aspects might be minor indirect upstream services or business travel related to the product, which are generally very small compared to materials, energy, and use phase impacts.</w:t>
      </w:r>
    </w:p>
    <w:p>
      <w:r>
        <w:pict>
          <v:rect style="width:0;height:1.5pt" o:hralign="center" o:hrstd="t" o:hr="t"/>
        </w:pict>
      </w:r>
    </w:p>
    <w:bookmarkEnd w:id="45"/>
    <w:bookmarkEnd w:id="46"/>
    <w:bookmarkStart w:id="50" w:name="review-report-hotspots-and-reliability"/>
    <w:p>
      <w:pPr>
        <w:pStyle w:val="Heading2"/>
      </w:pPr>
      <w:r>
        <w:t xml:space="preserve">5. Review &amp; Report: Hotspots and Reliability</w:t>
      </w:r>
    </w:p>
    <w:p>
      <w:pPr>
        <w:pStyle w:val="FirstParagraph"/>
      </w:pPr>
      <w:r>
        <w:t xml:space="preserve">The total Product Carbon Footprint for one functional unit of \'erugjgfeqm\' is calculated to be</w:t>
      </w:r>
      <w:r>
        <w:t xml:space="preserve"> </w:t>
      </w:r>
      <w:r>
        <w:rPr>
          <w:bCs/>
          <w:b/>
        </w:rPr>
        <w:t xml:space="preserve">15.1922 kgCO2e</w:t>
      </w:r>
      <w:r>
        <w:t xml:space="preserve">.</w:t>
      </w:r>
    </w:p>
    <w:bookmarkStart w:id="47" w:name="hotspot-analysis"/>
    <w:p>
      <w:pPr>
        <w:pStyle w:val="Heading3"/>
      </w:pPr>
      <w:r>
        <w:t xml:space="preserve">5.1. Hotspot Analysis</w:t>
      </w:r>
    </w:p>
    <w:p>
      <w:pPr>
        <w:pStyle w:val="FirstParagraph"/>
      </w:pPr>
      <w:r>
        <w:t xml:space="preserve">Based on the calculations, the major hotspots in the lifecycle of \'erugjgfeqm\' are:</w:t>
      </w:r>
    </w:p>
    <w:p>
      <w:pPr>
        <w:numPr>
          <w:ilvl w:val="0"/>
          <w:numId w:val="1013"/>
        </w:numPr>
        <w:pStyle w:val="Compact"/>
      </w:pPr>
      <w:r>
        <w:rPr>
          <w:bCs/>
          <w:b/>
        </w:rPr>
        <w:t xml:space="preserve">Use Phase (12.5 kgCO2e):</w:t>
      </w:r>
      <w:r>
        <w:t xml:space="preserve"> </w:t>
      </w:r>
      <w:r>
        <w:t xml:space="preserve">This stage represents the largest portion of the total PCF, accounting for approximately 82.3% of the total emissions. This is primarily due to the energy consumption of \'erugjgfeqm\' over its 5-year lifespan.</w:t>
      </w:r>
    </w:p>
    <w:p>
      <w:pPr>
        <w:numPr>
          <w:ilvl w:val="0"/>
          <w:numId w:val="1013"/>
        </w:numPr>
        <w:pStyle w:val="Compact"/>
      </w:pPr>
      <w:r>
        <w:rPr>
          <w:bCs/>
          <w:b/>
        </w:rPr>
        <w:t xml:space="preserve">Raw Materials Acquisition &amp; Processing (1.625 kgCO2e):</w:t>
      </w:r>
      <w:r>
        <w:t xml:space="preserve"> </w:t>
      </w:r>
      <w:r>
        <w:t xml:space="preserve">This stage contributes significantly as upstream Scope 3 emissions, making up about 10.7% of the total, highlighting the importance of material selection and supply chain sustainability.</w:t>
      </w:r>
    </w:p>
    <w:p>
      <w:pPr>
        <w:numPr>
          <w:ilvl w:val="0"/>
          <w:numId w:val="1013"/>
        </w:numPr>
        <w:pStyle w:val="Compact"/>
      </w:pPr>
      <w:r>
        <w:rPr>
          <w:bCs/>
          <w:b/>
        </w:rPr>
        <w:t xml:space="preserve">Manufacturing (Scope 2) (0.9 kgCO2e):</w:t>
      </w:r>
      <w:r>
        <w:t xml:space="preserve"> </w:t>
      </w:r>
      <w:r>
        <w:t xml:space="preserve">Although the company uses 70% renewable energy, the remaining 30% from the grid still contributes to the footprint, accounting for about 5.9%.</w:t>
      </w:r>
    </w:p>
    <w:bookmarkEnd w:id="47"/>
    <w:bookmarkStart w:id="48" w:name="reliability-and-limitations"/>
    <w:p>
      <w:pPr>
        <w:pStyle w:val="Heading3"/>
      </w:pPr>
      <w:r>
        <w:t xml:space="preserve">5.2. Reliability and Limitations</w:t>
      </w:r>
    </w:p>
    <w:p>
      <w:pPr>
        <w:pStyle w:val="FirstParagraph"/>
      </w:pPr>
      <w:r>
        <w:t xml:space="preserve">The reliability of this report is considered high due to the use of detailed primary data (BOM, specific energy usage, recyclability) and adherence to the GHG Protocol. However, certain limitations and assumptions are inherent:</w:t>
      </w:r>
    </w:p>
    <w:p>
      <w:pPr>
        <w:numPr>
          <w:ilvl w:val="0"/>
          <w:numId w:val="1014"/>
        </w:numPr>
        <w:pStyle w:val="Compact"/>
      </w:pPr>
      <w:r>
        <w:rPr>
          <w:bCs/>
          <w:b/>
        </w:rPr>
        <w:t xml:space="preserve">Emission Factors:</w:t>
      </w:r>
      <w:r>
        <w:t xml:space="preserve"> </w:t>
      </w:r>
      <w:r>
        <w:t xml:space="preserve">While specific \'Total Carbon\' values were used for BOM items, general industry-average emission factors (e.g., for transport, generic grid electricity for China and Europe) were used where specific factors were not provided. These factors are based on reputable sources like Ecoinvent/DEFRA but represent averages and may not perfectly reflect specific supplier or regional conditions.</w:t>
      </w:r>
    </w:p>
    <w:p>
      <w:pPr>
        <w:numPr>
          <w:ilvl w:val="0"/>
          <w:numId w:val="1014"/>
        </w:numPr>
        <w:pStyle w:val="Compact"/>
      </w:pPr>
      <w:r>
        <w:rPr>
          <w:bCs/>
          <w:b/>
        </w:rPr>
        <w:t xml:space="preserve">Data Granularity:</w:t>
      </w:r>
      <w:r>
        <w:t xml:space="preserve"> </w:t>
      </w:r>
      <w:r>
        <w:t xml:space="preserve">The provided \'Select Mode\' and \'Delivery Type\' were interpreted as \'Road Freight (Heavy Duty Truck)\' and \'Parcel Service\' respectively. Greater detail on specific logistics providers and routes could refine these figures.</w:t>
      </w:r>
    </w:p>
    <w:p>
      <w:pPr>
        <w:numPr>
          <w:ilvl w:val="0"/>
          <w:numId w:val="1014"/>
        </w:numPr>
        <w:pStyle w:val="Compact"/>
      </w:pPr>
      <w:r>
        <w:rPr>
          <w:bCs/>
          <w:b/>
        </w:rPr>
        <w:t xml:space="preserve">Land Sector and Removals (LSR) Standard:</w:t>
      </w:r>
      <w:r>
        <w:t xml:space="preserve"> </w:t>
      </w:r>
      <w:r>
        <w:t xml:space="preserve">While acknowledged, specific calculations for land-use change or carbon removals were not performed due to the absence of direct data for such activities related to \'erugjgfeqm\' beyond general material sourcing.</w:t>
      </w:r>
    </w:p>
    <w:p>
      <w:pPr>
        <w:numPr>
          <w:ilvl w:val="0"/>
          <w:numId w:val="1014"/>
        </w:numPr>
        <w:pStyle w:val="Compact"/>
      </w:pPr>
      <w:r>
        <w:rPr>
          <w:bCs/>
          <w:b/>
        </w:rPr>
        <w:t xml:space="preserve">Scope 1 Emissions:</w:t>
      </w:r>
      <w:r>
        <w:t xml:space="preserve"> </w:t>
      </w:r>
      <w:r>
        <w:t xml:space="preserve">Assumed to be negligible for the production phase due to lack of specific direct combustion or process emission data.</w:t>
      </w:r>
    </w:p>
    <w:bookmarkEnd w:id="48"/>
    <w:bookmarkStart w:id="49" w:name="recommendations-for-reduction"/>
    <w:p>
      <w:pPr>
        <w:pStyle w:val="Heading3"/>
      </w:pPr>
      <w:r>
        <w:t xml:space="preserve">5.3. Recommendations for Reduction</w:t>
      </w:r>
    </w:p>
    <w:p>
      <w:pPr>
        <w:pStyle w:val="FirstParagraph"/>
      </w:pPr>
      <w:r>
        <w:t xml:space="preserve">Based on the hotspot analysis, key areas for emission reduction include:</w:t>
      </w:r>
    </w:p>
    <w:p>
      <w:pPr>
        <w:numPr>
          <w:ilvl w:val="0"/>
          <w:numId w:val="1015"/>
        </w:numPr>
        <w:pStyle w:val="Compact"/>
      </w:pPr>
      <w:r>
        <w:rPr>
          <w:bCs/>
          <w:b/>
        </w:rPr>
        <w:t xml:space="preserve">Optimizing Use Phase Efficiency:</w:t>
      </w:r>
      <w:r>
        <w:t xml:space="preserve"> </w:t>
      </w:r>
      <w:r>
        <w:t xml:space="preserve">Focus on improving the energy efficiency of \'erugjgfeqm\' during its operational life. This could involve design changes, user education for efficient usage, or exploring low-carbon energy options for end-users.</w:t>
      </w:r>
    </w:p>
    <w:p>
      <w:pPr>
        <w:numPr>
          <w:ilvl w:val="0"/>
          <w:numId w:val="1015"/>
        </w:numPr>
        <w:pStyle w:val="Compact"/>
      </w:pPr>
      <w:r>
        <w:rPr>
          <w:bCs/>
          <w:b/>
        </w:rPr>
        <w:t xml:space="preserve">Sustainable Material Sourcing:</w:t>
      </w:r>
      <w:r>
        <w:t xml:space="preserve"> </w:t>
      </w:r>
      <w:r>
        <w:t xml:space="preserve">Investigate opportunities for using lower-carbon materials, increasing recycled content, or working with suppliers to reduce the footprint of existing materials.</w:t>
      </w:r>
    </w:p>
    <w:p>
      <w:pPr>
        <w:numPr>
          <w:ilvl w:val="0"/>
          <w:numId w:val="1015"/>
        </w:numPr>
        <w:pStyle w:val="Compact"/>
      </w:pPr>
      <w:r>
        <w:rPr>
          <w:bCs/>
          <w:b/>
        </w:rPr>
        <w:t xml:space="preserve">Enhancing Renewable Energy:</w:t>
      </w:r>
      <w:r>
        <w:t xml:space="preserve"> </w:t>
      </w:r>
      <w:r>
        <w:t xml:space="preserve">Further increase the share of renewable energy in manufacturing (beyond 70%) and explore ways to encourage renewable energy use in the product\'s value chain.</w:t>
      </w:r>
    </w:p>
    <w:p>
      <w:pPr>
        <w:numPr>
          <w:ilvl w:val="0"/>
          <w:numId w:val="1015"/>
        </w:numPr>
        <w:pStyle w:val="Compact"/>
      </w:pPr>
      <w:r>
        <w:rPr>
          <w:bCs/>
          <w:b/>
        </w:rPr>
        <w:t xml:space="preserve">Strengthening Circularity:</w:t>
      </w:r>
      <w:r>
        <w:t xml:space="preserve"> </w:t>
      </w:r>
      <w:r>
        <w:t xml:space="preserve">Leverage the \'hhkdzvmpmk\' circular/take-back programs to maximize material recovery and explore design for disassembly and repair to extend product lifespan.</w:t>
      </w:r>
    </w:p>
    <w:p>
      <w:r>
        <w:pict>
          <v:rect style="width:0;height:1.5pt" o:hralign="center" o:hrstd="t" o:hr="t"/>
        </w:pic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Product X</dc:title>
  <dc:creator/>
  <dc:description>Detailed Product Carbon Footprint (PCF) analysis report for Product X by ywmuzhgrrj, adhering to GHG Protocol standards and 2026 LSR update.</dc:description>
  <dc:language>en</dc:language>
  <cp:keywords/>
  <dcterms:created xsi:type="dcterms:W3CDTF">2026-07-15T18:08:01Z</dcterms:created>
  <dcterms:modified xsi:type="dcterms:W3CDTF">2026-07-15T18:08:01Z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