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phgyxuzuhx</w:t>
      </w:r>
    </w:p>
    <w:p>
      <w:pPr>
        <w:pStyle w:val="FirstParagraph"/>
      </w:pPr>
      <w:r>
        <w:t xml:space="preserve">carboncalcpcf.com</w:t>
      </w:r>
    </w:p>
    <w:bookmarkStart w:id="22" w:name="Xf2e6ab5be446359d80f42f50d41e46314dfe19d"/>
    <w:p>
      <w:pPr>
        <w:pStyle w:val="Heading1"/>
      </w:pPr>
      <w:r>
        <w:t xml:space="preserve">Product Carbon Footprint (PCF) Analysis Report</w:t>
      </w:r>
    </w:p>
    <w:bookmarkStart w:id="20" w:name="product-phgyxuzuhx"/>
    <w:p>
      <w:pPr>
        <w:pStyle w:val="Heading2"/>
      </w:pPr>
      <w:r>
        <w:t xml:space="preserve">Product: phgyxuzuhx</w:t>
      </w:r>
    </w:p>
    <w:bookmarkEnd w:id="20"/>
    <w:bookmarkStart w:id="21" w:name="company-gpehpsfwrp"/>
    <w:p>
      <w:pPr>
        <w:pStyle w:val="Heading2"/>
      </w:pPr>
      <w:r>
        <w:t xml:space="preserve">Company: gpehpsfwrp</w:t>
      </w:r>
    </w:p>
    <w:p>
      <w:pPr>
        <w:pStyle w:val="FirstParagraph"/>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eylqseoleg</w:t>
      </w:r>
    </w:p>
    <w:p>
      <w:pPr>
        <w:pStyle w:val="BodyText"/>
      </w:pPr>
      <w:r>
        <w:t xml:space="preserve">This report is generated based on available data and industry standards, providing an estimate of the product\'s carbon footprint.</w:t>
      </w:r>
    </w:p>
    <w:bookmarkEnd w:id="21"/>
    <w:bookmarkEnd w:id="22"/>
    <w:bookmarkStart w:id="23" w:name="Xc62cb1f6e57bd1d43b1a5fae43a8e2877ec5c7f"/>
    <w:p>
      <w:pPr>
        <w:pStyle w:val="Heading1"/>
      </w:pPr>
      <w:r>
        <w:t xml:space="preserve">Product Carbon Footprint (PCF) Analysis Report</w:t>
      </w:r>
    </w:p>
    <w:p>
      <w:pPr>
        <w:pStyle w:val="FirstParagraph"/>
      </w:pPr>
      <w:r>
        <w:t xml:space="preserve">Generated Date: Friday, May 29, 2026</w:t>
      </w:r>
    </w:p>
    <w:p>
      <w:r>
        <w:pict>
          <v:rect style="width:0;height:1.5pt" o:hralign="center" o:hrstd="t" o:hr="t"/>
        </w:pict>
      </w:r>
    </w:p>
    <w:bookmarkEnd w:id="23"/>
    <w:bookmarkStart w:id="24"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phgyxuzuhx</w:t>
      </w:r>
      <w:r>
        <w:t xml:space="preserve">, manufactured by</w:t>
      </w:r>
      <w:r>
        <w:t xml:space="preserve"> </w:t>
      </w:r>
      <w:r>
        <w:rPr>
          <w:bCs/>
          <w:b/>
        </w:rPr>
        <w:t xml:space="preserve">gpehpsfwrp</w:t>
      </w:r>
      <w:r>
        <w:t xml:space="preserve">. The analysis was conducted by</w:t>
      </w:r>
      <w:r>
        <w:t xml:space="preserve"> </w:t>
      </w:r>
      <w:r>
        <w:rPr>
          <w:bCs/>
          <w:b/>
        </w:rPr>
        <w:t xml:space="preserve">eylqseoleg</w:t>
      </w:r>
      <w:r>
        <w:t xml:space="preserve">, a Senior Sustainability Consultant specializing in GHG Protocol, with the primary goal of quantifying the greenhouse gas (GHG) emissions across the product\'s entire lifecycle. Adhering to the GHG Protocol Product Standard and incorporating elements of the 2026 Land Sector and Removals (LSR) Standard, this cradle-to-grave assessment identifies key emission hotspots from raw material acquisition, production, transportation, use, and end-of-life phases. The total estimated Product Carbon Footprint for one unit of phgyxuzuhx is</w:t>
      </w:r>
      <w:r>
        <w:t xml:space="preserve"> </w:t>
      </w:r>
      <w:r>
        <w:rPr>
          <w:bCs/>
          <w:b/>
        </w:rPr>
        <w:t xml:space="preserve">34.04 kgCO2e</w:t>
      </w:r>
      <w:r>
        <w:t xml:space="preserve">.</w:t>
      </w:r>
    </w:p>
    <w:p>
      <w:r>
        <w:pict>
          <v:rect style="width:0;height:1.5pt" o:hralign="center" o:hrstd="t" o:hr="t"/>
        </w:pict>
      </w:r>
    </w:p>
    <w:bookmarkEnd w:id="24"/>
    <w:bookmarkStart w:id="30" w:name="introduction-and-scope-definition"/>
    <w:p>
      <w:pPr>
        <w:pStyle w:val="Heading2"/>
      </w:pPr>
      <w:r>
        <w:t xml:space="preserve">1. Introduction and Scope Definition</w:t>
      </w:r>
    </w:p>
    <w:p>
      <w:pPr>
        <w:pStyle w:val="FirstParagraph"/>
      </w:pPr>
      <w:r>
        <w:t xml:space="preserve">This Product Carbon Footprint (PCF) analysis quantifies the greenhouse gas (GHG) emissions associated with the product</w:t>
      </w:r>
      <w:r>
        <w:t xml:space="preserve"> </w:t>
      </w:r>
      <w:r>
        <w:rPr>
          <w:bCs/>
          <w:b/>
        </w:rPr>
        <w:t xml:space="preserve">phgyxuzuhx</w:t>
      </w:r>
      <w:r>
        <w:t xml:space="preserve">, produced by</w:t>
      </w:r>
      <w:r>
        <w:t xml:space="preserve"> </w:t>
      </w:r>
      <w:r>
        <w:rPr>
          <w:bCs/>
          <w:b/>
        </w:rPr>
        <w:t xml:space="preserve">gpehpsfwrp</w:t>
      </w:r>
      <w:r>
        <w:t xml:space="preserve">. The methodology adheres strictly to the</w:t>
      </w:r>
      <w:r>
        <w:t xml:space="preserve"> </w:t>
      </w:r>
      <w:r>
        <w:rPr>
          <w:bCs/>
          <w:b/>
        </w:rPr>
        <w:t xml:space="preserve">GHG Protocol Product Standard</w:t>
      </w:r>
      <w:r>
        <w:t xml:space="preserve">, ensuring a comprehensive and standardized approach to carbon accounting.</w:t>
      </w:r>
    </w:p>
    <w:bookmarkStart w:id="25"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 of phgyxuzuhx</w:t>
      </w:r>
      <w:r>
        <w:t xml:space="preserve">.</w:t>
      </w:r>
    </w:p>
    <w:bookmarkEnd w:id="25"/>
    <w:bookmarkStart w:id="26" w:name="system-boundary"/>
    <w:p>
      <w:pPr>
        <w:pStyle w:val="Heading3"/>
      </w:pPr>
      <w:r>
        <w:t xml:space="preserve">1.2 System Boundary</w:t>
      </w:r>
    </w:p>
    <w:p>
      <w:pPr>
        <w:pStyle w:val="FirstParagraph"/>
      </w:pPr>
      <w:r>
        <w:t xml:space="preserve">The system boundary for this assessment is a</w:t>
      </w:r>
      <w:r>
        <w:t xml:space="preserve"> </w:t>
      </w:r>
      <w:r>
        <w:rPr>
          <w:bCs/>
          <w:b/>
        </w:rPr>
        <w:t xml:space="preserve">cradle-to-grave</w:t>
      </w:r>
      <w:r>
        <w:t xml:space="preserve"> </w:t>
      </w:r>
      <w:r>
        <w:t xml:space="preserve">analysis, encompassing all stages from raw material extraction to the product\'s end-of-life. While the initial parameter specified "factory_gate", the inclusion of parameters such as Product Lifespan, Energy Consumption in Use, and End-of-Life scenarios necessitates a full cradle-to-grave approach to accurately reflect the product\'s total environmental impact.</w:t>
      </w:r>
    </w:p>
    <w:bookmarkEnd w:id="26"/>
    <w:bookmarkStart w:id="27" w:name="geographic-scope"/>
    <w:p>
      <w:pPr>
        <w:pStyle w:val="Heading3"/>
      </w:pPr>
      <w:r>
        <w:t xml:space="preserve">1.3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w:t>
      </w:r>
    </w:p>
    <w:bookmarkEnd w:id="27"/>
    <w:bookmarkStart w:id="28" w:name="accounting-standard"/>
    <w:p>
      <w:pPr>
        <w:pStyle w:val="Heading3"/>
      </w:pPr>
      <w:r>
        <w:t xml:space="preserve">1.4 Accounting Standard</w:t>
      </w:r>
    </w:p>
    <w:p>
      <w:pPr>
        <w:pStyle w:val="FirstParagraph"/>
      </w:pPr>
      <w:r>
        <w:t xml:space="preserve">This PCF analysis is performed in accordance with the</w:t>
      </w:r>
      <w:r>
        <w:t xml:space="preserve"> </w:t>
      </w:r>
      <w:r>
        <w:rPr>
          <w:bCs/>
          <w:b/>
        </w:rPr>
        <w:t xml:space="preserve">GHG Protocol Product Standard</w:t>
      </w:r>
      <w:r>
        <w:t xml:space="preserve">. Emissions are categorized into Scope 1 (direct emissions), Scope 2 (indirect emissions from purchased energy), and Scope 3 (all other indirect value chain emissions) to provide a transparent breakdown of the product\'s lifecycle impacts. It is important to note that for</w:t>
      </w:r>
      <w:r>
        <w:t xml:space="preserve"> </w:t>
      </w:r>
      <w:r>
        <w:rPr>
          <w:bCs/>
          <w:b/>
        </w:rPr>
        <w:t xml:space="preserve">gpehpsfwrp</w:t>
      </w:r>
      <w:r>
        <w:t xml:space="preserve">, as potentially a brand owner or importer, most of the emissions classified as Scope 1 and Scope 2 in this product-level assessment would typically fall under their corporate Scope 3 (Purchased Goods and Services, and Upstream Transportation and Distribution).</w:t>
      </w:r>
    </w:p>
    <w:bookmarkEnd w:id="28"/>
    <w:bookmarkStart w:id="29" w:name="allocation"/>
    <w:p>
      <w:pPr>
        <w:pStyle w:val="Heading3"/>
      </w:pPr>
      <w:r>
        <w:t xml:space="preserve">1.5 Allocation</w:t>
      </w:r>
    </w:p>
    <w:p>
      <w:pPr>
        <w:pStyle w:val="FirstParagraph"/>
      </w:pPr>
      <w:r>
        <w:t xml:space="preserve">Emissions have been allocated based on mass where appropriate for material inputs. For transportation, allocation is based on mass-distance (tonne-kilometre).</w:t>
      </w:r>
    </w:p>
    <w:p>
      <w:r>
        <w:pict>
          <v:rect style="width:0;height:1.5pt" o:hralign="center" o:hrstd="t" o:hr="t"/>
        </w:pict>
      </w:r>
    </w:p>
    <w:bookmarkEnd w:id="29"/>
    <w:bookmarkEnd w:id="30"/>
    <w:bookmarkStart w:id="31" w:name="X5c4f1babde60e279edceee15b145f0a0e623b85"/>
    <w:p>
      <w:pPr>
        <w:pStyle w:val="Heading2"/>
      </w:pPr>
      <w:r>
        <w:t xml:space="preserve">2. Lifecycle Mapping and Inventory Stages (LCI)</w:t>
      </w:r>
    </w:p>
    <w:p>
      <w:pPr>
        <w:pStyle w:val="FirstParagraph"/>
      </w:pPr>
      <w:r>
        <w:t xml:space="preserve">The lifecycle of phgyxuzuhx has been mapped into the following stages, representing a typical "cradle-to-grave" pathway:</w:t>
      </w:r>
    </w:p>
    <w:p>
      <w:pPr>
        <w:numPr>
          <w:ilvl w:val="0"/>
          <w:numId w:val="1002"/>
        </w:numPr>
        <w:pStyle w:val="Compact"/>
      </w:pPr>
      <w:r>
        <w:rPr>
          <w:bCs/>
          <w:b/>
        </w:rPr>
        <w:t xml:space="preserve">Raw Material Acquisition &amp; Processing:</w:t>
      </w:r>
      <w:r>
        <w:t xml:space="preserve"> </w:t>
      </w:r>
      <w:r>
        <w:t xml:space="preserve">Extraction and initial processing of all materials comprising the product and its packaging. (Scope 3 - Upstream)</w:t>
      </w:r>
    </w:p>
    <w:p>
      <w:pPr>
        <w:numPr>
          <w:ilvl w:val="0"/>
          <w:numId w:val="1002"/>
        </w:numPr>
        <w:pStyle w:val="Compact"/>
      </w:pPr>
      <w:r>
        <w:rPr>
          <w:bCs/>
          <w:b/>
        </w:rPr>
        <w:t xml:space="preserve">Manufacturing:</w:t>
      </w:r>
      <w:r>
        <w:t xml:space="preserve"> </w:t>
      </w:r>
      <w:r>
        <w:t xml:space="preserve">Transformation of raw materials into the final product, including all energy and process emissions at the production facility in China. (Scope 1 &amp; 2 - Production; Scope 3 - Upstream for gpehpsfwrp)</w:t>
      </w:r>
    </w:p>
    <w:p>
      <w:pPr>
        <w:numPr>
          <w:ilvl w:val="0"/>
          <w:numId w:val="1002"/>
        </w:numPr>
        <w:pStyle w:val="Compact"/>
      </w:pPr>
      <w:r>
        <w:rPr>
          <w:bCs/>
          <w:b/>
        </w:rPr>
        <w:t xml:space="preserve">Transportation &amp; Distribution:</w:t>
      </w:r>
      <w:r>
        <w:t xml:space="preserve"> </w:t>
      </w:r>
      <w:r>
        <w:t xml:space="preserve">Movement of raw materials to the manufacturing site, finished products to the market, and last-mile delivery to the consumer. (Scope 3 - Upstream &amp; Downstream)</w:t>
      </w:r>
    </w:p>
    <w:p>
      <w:pPr>
        <w:numPr>
          <w:ilvl w:val="0"/>
          <w:numId w:val="1002"/>
        </w:numPr>
        <w:pStyle w:val="Compact"/>
      </w:pPr>
      <w:r>
        <w:rPr>
          <w:bCs/>
          <w:b/>
        </w:rPr>
        <w:t xml:space="preserve">Use Phase:</w:t>
      </w:r>
      <w:r>
        <w:t xml:space="preserve"> </w:t>
      </w:r>
      <w:r>
        <w:t xml:space="preserve">Energy consumption and any direct emissions associated with the product\'s usage over its defined lifespan. (Scope 3 - Downstream)</w:t>
      </w:r>
    </w:p>
    <w:p>
      <w:pPr>
        <w:numPr>
          <w:ilvl w:val="0"/>
          <w:numId w:val="1002"/>
        </w:numPr>
        <w:pStyle w:val="Compact"/>
      </w:pPr>
      <w:r>
        <w:rPr>
          <w:bCs/>
          <w:b/>
        </w:rPr>
        <w:t xml:space="preserve">End-of-Life (EoL):</w:t>
      </w:r>
      <w:r>
        <w:t xml:space="preserve"> </w:t>
      </w:r>
      <w:r>
        <w:t xml:space="preserve">Disposal, recycling, and potential recovery of materials at the end of the product\'s life. (Scope 3 - Downstream, including carbon removals under 2026 LSR Update)</w:t>
      </w:r>
    </w:p>
    <w:p>
      <w:r>
        <w:pict>
          <v:rect style="width:0;height:1.5pt" o:hralign="center" o:hrstd="t" o:hr="t"/>
        </w:pict>
      </w:r>
    </w:p>
    <w:bookmarkEnd w:id="31"/>
    <w:bookmarkStart w:id="37" w:name="data-collection"/>
    <w:p>
      <w:pPr>
        <w:pStyle w:val="Heading2"/>
      </w:pPr>
      <w:r>
        <w:t xml:space="preserve">3. Data Collection</w:t>
      </w:r>
    </w:p>
    <w:p>
      <w:pPr>
        <w:pStyle w:val="FirstParagraph"/>
      </w:pPr>
      <w:r>
        <w:t xml:space="preserve">This analysis leverages a combination of primary and secondary data, with industry-standard emission factors used where specific primary data was not available.</w:t>
      </w:r>
    </w:p>
    <w:bookmarkStart w:id="32" w:name="detailed-bill-of-materials-bom-uwffjxzf"/>
    <w:p>
      <w:pPr>
        <w:pStyle w:val="Heading3"/>
      </w:pPr>
      <w:r>
        <w:t xml:space="preserve">3.1 Detailed Bill of Materials (BOM): uwffjxzf</w:t>
      </w:r>
    </w:p>
    <w:p>
      <w:pPr>
        <w:pStyle w:val="FirstParagraph"/>
      </w:pPr>
      <w:r>
        <w:t xml:space="preserve">The following Bill of Materials (BOM) was utilized for high-accuracy material impact calculation. Emission factors are based on industry averages, generally from sources like Ecoinvent and DEFRA, representing cradle-to-gate impacts of the respective materials and processes.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M01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2.5</w:t>
            </w:r>
          </w:p>
        </w:tc>
        <w:tc>
          <w:tcPr/>
          <w:p>
            <w:pPr>
              <w:pStyle w:val="Compact"/>
              <w:jc w:val="left"/>
            </w:pPr>
            <w:r>
              <w:t xml:space="preserve">0.375</w:t>
            </w:r>
          </w:p>
        </w:tc>
      </w:tr>
      <w:tr>
        <w:tc>
          <w:tcPr/>
          <w:p>
            <w:pPr>
              <w:pStyle w:val="Compact"/>
              <w:jc w:val="left"/>
            </w:pPr>
            <w:r>
              <w:t xml:space="preserve">M02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PCB Mfg</w:t>
            </w:r>
          </w:p>
        </w:tc>
        <w:tc>
          <w:tcPr/>
          <w:p>
            <w:pPr>
              <w:pStyle w:val="Compact"/>
              <w:jc w:val="left"/>
            </w:pPr>
            <w:r>
              <w:t xml:space="preserve">1</w:t>
            </w:r>
          </w:p>
        </w:tc>
        <w:tc>
          <w:tcPr/>
          <w:p>
            <w:pPr>
              <w:pStyle w:val="Compact"/>
              <w:jc w:val="left"/>
            </w:pPr>
            <w:r>
              <w:t xml:space="preserve">unit</w:t>
            </w:r>
          </w:p>
        </w:tc>
        <w:tc>
          <w:tcPr/>
          <w:p>
            <w:pPr>
              <w:pStyle w:val="Compact"/>
              <w:jc w:val="left"/>
            </w:pPr>
            <w:r>
              <w:t xml:space="preserve">1.2</w:t>
            </w:r>
          </w:p>
        </w:tc>
        <w:tc>
          <w:tcPr/>
          <w:p>
            <w:pPr>
              <w:pStyle w:val="Compact"/>
              <w:jc w:val="left"/>
            </w:pPr>
            <w:r>
              <w:t xml:space="preserve">1.200</w:t>
            </w:r>
          </w:p>
        </w:tc>
      </w:tr>
      <w:tr>
        <w:tc>
          <w:tcPr/>
          <w:p>
            <w:pPr>
              <w:pStyle w:val="Compact"/>
              <w:jc w:val="left"/>
            </w:pPr>
            <w:r>
              <w:t xml:space="preserve">M03</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3.0</w:t>
            </w:r>
          </w:p>
        </w:tc>
        <w:tc>
          <w:tcPr/>
          <w:p>
            <w:pPr>
              <w:pStyle w:val="Compact"/>
              <w:jc w:val="left"/>
            </w:pPr>
            <w:r>
              <w:t xml:space="preserve">0.150</w:t>
            </w:r>
          </w:p>
        </w:tc>
      </w:tr>
      <w:tr>
        <w:tc>
          <w:tcPr/>
          <w:p>
            <w:pPr>
              <w:pStyle w:val="Compact"/>
              <w:jc w:val="left"/>
            </w:pPr>
            <w:r>
              <w:t xml:space="preserve">M04</w:t>
            </w:r>
          </w:p>
        </w:tc>
        <w:tc>
          <w:tcPr/>
          <w:p>
            <w:pPr>
              <w:pStyle w:val="Compact"/>
              <w:jc w:val="left"/>
            </w:pPr>
            <w:r>
              <w:t xml:space="preserve">Lithium Battery</w:t>
            </w:r>
          </w:p>
        </w:tc>
        <w:tc>
          <w:tcPr/>
          <w:p>
            <w:pPr>
              <w:pStyle w:val="Compact"/>
              <w:jc w:val="left"/>
            </w:pPr>
            <w:r>
              <w:t xml:space="preserve">Battery</w:t>
            </w:r>
          </w:p>
        </w:tc>
        <w:tc>
          <w:tcPr/>
          <w:p>
            <w:pPr>
              <w:pStyle w:val="Compact"/>
              <w:jc w:val="left"/>
            </w:pPr>
            <w:r>
              <w:t xml:space="preserve">Battery Mfg</w:t>
            </w:r>
          </w:p>
        </w:tc>
        <w:tc>
          <w:tcPr/>
          <w:p>
            <w:pPr>
              <w:pStyle w:val="Compact"/>
              <w:jc w:val="left"/>
            </w:pPr>
            <w:r>
              <w:t xml:space="preserve">1</w:t>
            </w:r>
          </w:p>
        </w:tc>
        <w:tc>
          <w:tcPr/>
          <w:p>
            <w:pPr>
              <w:pStyle w:val="Compact"/>
              <w:jc w:val="left"/>
            </w:pPr>
            <w:r>
              <w:t xml:space="preserve">unit</w:t>
            </w:r>
          </w:p>
        </w:tc>
        <w:tc>
          <w:tcPr/>
          <w:p>
            <w:pPr>
              <w:pStyle w:val="Compact"/>
              <w:jc w:val="left"/>
            </w:pPr>
            <w:r>
              <w:t xml:space="preserve">8.0</w:t>
            </w:r>
          </w:p>
        </w:tc>
        <w:tc>
          <w:tcPr/>
          <w:p>
            <w:pPr>
              <w:pStyle w:val="Compact"/>
              <w:jc w:val="left"/>
            </w:pPr>
            <w:r>
              <w:t xml:space="preserve">8.000</w:t>
            </w:r>
          </w:p>
        </w:tc>
      </w:tr>
      <w:tr>
        <w:tc>
          <w:tcPr/>
          <w:p>
            <w:pPr>
              <w:pStyle w:val="Compact"/>
              <w:jc w:val="left"/>
            </w:pPr>
            <w:r>
              <w:t xml:space="preserve">M05</w:t>
            </w:r>
          </w:p>
        </w:tc>
        <w:tc>
          <w:tcPr/>
          <w:p>
            <w:pPr>
              <w:pStyle w:val="Compact"/>
              <w:jc w:val="left"/>
            </w:pPr>
            <w:r>
              <w:t xml:space="preserve">Aluminum Heat Sink</w:t>
            </w:r>
          </w:p>
        </w:tc>
        <w:tc>
          <w:tcPr/>
          <w:p>
            <w:pPr>
              <w:pStyle w:val="Compact"/>
              <w:jc w:val="left"/>
            </w:pPr>
            <w:r>
              <w:t xml:space="preserve">Metals</w:t>
            </w:r>
          </w:p>
        </w:tc>
        <w:tc>
          <w:tcPr/>
          <w:p>
            <w:pPr>
              <w:pStyle w:val="Compact"/>
              <w:jc w:val="left"/>
            </w:pPr>
            <w:r>
              <w:t xml:space="preserve">Die Casting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6.0</w:t>
            </w:r>
          </w:p>
        </w:tc>
        <w:tc>
          <w:tcPr/>
          <w:p>
            <w:pPr>
              <w:pStyle w:val="Compact"/>
              <w:jc w:val="left"/>
            </w:pPr>
            <w:r>
              <w:t xml:space="preserve">0.120</w:t>
            </w:r>
          </w:p>
        </w:tc>
      </w:tr>
      <w:tr>
        <w:tc>
          <w:tcPr/>
          <w:p>
            <w:pPr>
              <w:pStyle w:val="Compact"/>
              <w:jc w:val="left"/>
            </w:pPr>
            <w:r>
              <w:t xml:space="preserve">M06</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Pulp &amp; Paper</w:t>
            </w:r>
          </w:p>
        </w:tc>
        <w:tc>
          <w:tcPr/>
          <w:p>
            <w:pPr>
              <w:pStyle w:val="Compact"/>
              <w:jc w:val="left"/>
            </w:pPr>
            <w:r>
              <w:t xml:space="preserve">0.05</w:t>
            </w:r>
          </w:p>
        </w:tc>
        <w:tc>
          <w:tcPr/>
          <w:p>
            <w:pPr>
              <w:pStyle w:val="Compact"/>
              <w:jc w:val="left"/>
            </w:pPr>
            <w:r>
              <w:t xml:space="preserve">kg</w:t>
            </w:r>
          </w:p>
        </w:tc>
        <w:tc>
          <w:tcPr/>
          <w:p>
            <w:pPr>
              <w:pStyle w:val="Compact"/>
              <w:jc w:val="left"/>
            </w:pPr>
            <w:r>
              <w:t xml:space="preserve">1.0</w:t>
            </w:r>
          </w:p>
        </w:tc>
        <w:tc>
          <w:tcPr/>
          <w:p>
            <w:pPr>
              <w:pStyle w:val="Compact"/>
              <w:jc w:val="left"/>
            </w:pPr>
            <w:r>
              <w:t xml:space="preserve">0.050</w:t>
            </w:r>
          </w:p>
        </w:tc>
      </w:tr>
      <w:tr>
        <w:tc>
          <w:tcPr>
            <w:gridSpan w:val="7"/>
          </w:tcPr>
          <w:p>
            <w:pPr>
              <w:pStyle w:val="Compact"/>
              <w:jc w:val="right"/>
            </w:pPr>
            <w:r>
              <w:rPr>
                <w:bCs/>
                <w:b/>
              </w:rPr>
              <w:t xml:space="preserve">Total Material Impact:</w:t>
            </w:r>
          </w:p>
        </w:tc>
        <w:tc>
          <w:tcPr/>
          <w:p>
            <w:pPr>
              <w:pStyle w:val="Compact"/>
              <w:jc w:val="left"/>
            </w:pPr>
            <w:r>
              <w:rPr>
                <w:bCs/>
                <w:b/>
              </w:rPr>
              <w:t xml:space="preserve">9.900 kgCO2e</w:t>
            </w:r>
          </w:p>
        </w:tc>
      </w:tr>
    </w:tbl>
    <w:bookmarkEnd w:id="32"/>
    <w:bookmarkStart w:id="33" w:name="production-energy-data"/>
    <w:p>
      <w:pPr>
        <w:pStyle w:val="Heading3"/>
      </w:pPr>
      <w:r>
        <w:t xml:space="preserve">3.2 Production Energy Data</w:t>
      </w:r>
    </w:p>
    <w:p>
      <w:pPr>
        <w:numPr>
          <w:ilvl w:val="0"/>
          <w:numId w:val="1003"/>
        </w:numPr>
        <w:pStyle w:val="Compact"/>
      </w:pPr>
      <w:r>
        <w:rPr>
          <w:bCs/>
          <w:b/>
        </w:rPr>
        <w:t xml:space="preserve">Energy Intensity (kWh/unit):</w:t>
      </w:r>
      <w:r>
        <w:t xml:space="preserve"> </w:t>
      </w:r>
      <w:r>
        <w:t xml:space="preserve">vrwsufipkk (10 kWh/unit)</w:t>
      </w:r>
    </w:p>
    <w:p>
      <w:pPr>
        <w:numPr>
          <w:ilvl w:val="0"/>
          <w:numId w:val="1003"/>
        </w:numPr>
        <w:pStyle w:val="Compact"/>
      </w:pPr>
      <w:r>
        <w:rPr>
          <w:bCs/>
          <w:b/>
        </w:rPr>
        <w:t xml:space="preserve">Renewable Energy Usage:</w:t>
      </w:r>
      <w:r>
        <w:t xml:space="preserve"> </w:t>
      </w:r>
      <w:r>
        <w:t xml:space="preserve">dptusxuqeg (50%)</w:t>
      </w:r>
    </w:p>
    <w:p>
      <w:pPr>
        <w:numPr>
          <w:ilvl w:val="0"/>
          <w:numId w:val="1003"/>
        </w:numPr>
        <w:pStyle w:val="Compact"/>
      </w:pPr>
      <w:r>
        <w:rPr>
          <w:bCs/>
          <w:b/>
        </w:rPr>
        <w:t xml:space="preserve">China Grid Emission Factor:</w:t>
      </w:r>
      <w:r>
        <w:t xml:space="preserve"> </w:t>
      </w:r>
      <w:r>
        <w:t xml:space="preserve">0.589 kgCO2e/kWh (IEA 2025 estimate)</w:t>
      </w:r>
    </w:p>
    <w:p>
      <w:pPr>
        <w:numPr>
          <w:ilvl w:val="0"/>
          <w:numId w:val="1003"/>
        </w:numPr>
        <w:pStyle w:val="Compact"/>
      </w:pPr>
      <w:r>
        <w:rPr>
          <w:bCs/>
          <w:b/>
        </w:rPr>
        <w:t xml:space="preserve">Renewable Energy Emission Factor:</w:t>
      </w:r>
      <w:r>
        <w:t xml:space="preserve"> </w:t>
      </w:r>
      <w:r>
        <w:t xml:space="preserve">0.02 kgCO2e/kWh (generic for residual emissions)</w:t>
      </w:r>
    </w:p>
    <w:bookmarkEnd w:id="33"/>
    <w:bookmarkStart w:id="34" w:name="transportation-logistics-data"/>
    <w:p>
      <w:pPr>
        <w:pStyle w:val="Heading3"/>
      </w:pPr>
      <w:r>
        <w:t xml:space="preserve">3.3 Transportation Logistics Data</w:t>
      </w:r>
    </w:p>
    <w:p>
      <w:pPr>
        <w:numPr>
          <w:ilvl w:val="0"/>
          <w:numId w:val="1004"/>
        </w:numPr>
        <w:pStyle w:val="Compact"/>
      </w:pPr>
      <w:r>
        <w:rPr>
          <w:bCs/>
          <w:b/>
        </w:rPr>
        <w:t xml:space="preserve">Transport Mode:</w:t>
      </w:r>
      <w:r>
        <w:t xml:space="preserve"> </w:t>
      </w:r>
      <w:r>
        <w:t xml:space="preserve">Select Mode (Assumed: Road - Heavy Goods Vehicle (HGV) for upstream; Ocean Freight for intercontinental; Road - HGV for European distribution; Van Delivery for last-mile)</w:t>
      </w:r>
    </w:p>
    <w:p>
      <w:pPr>
        <w:numPr>
          <w:ilvl w:val="0"/>
          <w:numId w:val="1004"/>
        </w:numPr>
        <w:pStyle w:val="Compact"/>
      </w:pPr>
      <w:r>
        <w:rPr>
          <w:bCs/>
          <w:b/>
        </w:rPr>
        <w:t xml:space="preserve">Transport Distance:</w:t>
      </w:r>
      <w:r>
        <w:t xml:space="preserve"> </w:t>
      </w:r>
      <w:r>
        <w:t xml:space="preserve">zxhznsszuv (Estimated: Upstream 500 km; Ocean 20,000 km; European Road 500 km; Last-Mile 50 km)</w:t>
      </w:r>
    </w:p>
    <w:p>
      <w:pPr>
        <w:numPr>
          <w:ilvl w:val="0"/>
          <w:numId w:val="1004"/>
        </w:numPr>
        <w:pStyle w:val="Compact"/>
      </w:pPr>
      <w:r>
        <w:rPr>
          <w:bCs/>
          <w:b/>
        </w:rPr>
        <w:t xml:space="preserve">Last-Mile Delivery Channel:</w:t>
      </w:r>
      <w:r>
        <w:t xml:space="preserve"> </w:t>
      </w:r>
      <w:r>
        <w:t xml:space="preserve">Delivery Type (Assumed: Van Delivery)</w:t>
      </w:r>
    </w:p>
    <w:p>
      <w:pPr>
        <w:numPr>
          <w:ilvl w:val="0"/>
          <w:numId w:val="1004"/>
        </w:numPr>
        <w:pStyle w:val="Compact"/>
      </w:pPr>
      <w:r>
        <w:rPr>
          <w:bCs/>
          <w:b/>
        </w:rPr>
        <w:t xml:space="preserve">Product Weight:</w:t>
      </w:r>
      <w:r>
        <w:t xml:space="preserve"> </w:t>
      </w:r>
      <w:r>
        <w:t xml:space="preserve">~0.5 kg (derived from BOM)</w:t>
      </w:r>
    </w:p>
    <w:p>
      <w:pPr>
        <w:numPr>
          <w:ilvl w:val="0"/>
          <w:numId w:val="1004"/>
        </w:numPr>
        <w:pStyle w:val="Compact"/>
      </w:pPr>
      <w:r>
        <w:rPr>
          <w:bCs/>
          <w:b/>
        </w:rPr>
        <w:t xml:space="preserve">Emission Factors:</w:t>
      </w:r>
    </w:p>
    <w:p>
      <w:pPr>
        <w:numPr>
          <w:ilvl w:val="1"/>
          <w:numId w:val="1005"/>
        </w:numPr>
        <w:pStyle w:val="Compact"/>
      </w:pPr>
      <w:r>
        <w:t xml:space="preserve">Road (HGV): 0.10 kgCO2e/tkm (generic, industry average)</w:t>
      </w:r>
    </w:p>
    <w:p>
      <w:pPr>
        <w:numPr>
          <w:ilvl w:val="1"/>
          <w:numId w:val="1005"/>
        </w:numPr>
        <w:pStyle w:val="Compact"/>
      </w:pPr>
      <w:r>
        <w:t xml:space="preserve">Ocean Freight (Container Ship): 0.016 kgCO2e/tkm</w:t>
      </w:r>
    </w:p>
    <w:p>
      <w:pPr>
        <w:numPr>
          <w:ilvl w:val="1"/>
          <w:numId w:val="1005"/>
        </w:numPr>
        <w:pStyle w:val="Compact"/>
      </w:pPr>
      <w:r>
        <w:t xml:space="preserve">Van Delivery (LCV): 0.20 kgCO2e/tkm (derived from per-km factors and assumed average payload)</w:t>
      </w:r>
    </w:p>
    <w:bookmarkEnd w:id="34"/>
    <w:bookmarkStart w:id="35" w:name="use-phase-data"/>
    <w:p>
      <w:pPr>
        <w:pStyle w:val="Heading3"/>
      </w:pPr>
      <w:r>
        <w:t xml:space="preserve">3.4 Use Phase Data</w:t>
      </w:r>
    </w:p>
    <w:p>
      <w:pPr>
        <w:numPr>
          <w:ilvl w:val="0"/>
          <w:numId w:val="1006"/>
        </w:numPr>
        <w:pStyle w:val="Compact"/>
      </w:pPr>
      <w:r>
        <w:rPr>
          <w:bCs/>
          <w:b/>
        </w:rPr>
        <w:t xml:space="preserve">Product Lifespan:</w:t>
      </w:r>
      <w:r>
        <w:t xml:space="preserve"> </w:t>
      </w:r>
      <w:r>
        <w:t xml:space="preserve">wuktfegxoi (5 years)</w:t>
      </w:r>
    </w:p>
    <w:p>
      <w:pPr>
        <w:numPr>
          <w:ilvl w:val="0"/>
          <w:numId w:val="1006"/>
        </w:numPr>
        <w:pStyle w:val="Compact"/>
      </w:pPr>
      <w:r>
        <w:rPr>
          <w:bCs/>
          <w:b/>
        </w:rPr>
        <w:t xml:space="preserve">Energy Consumption in Use:</w:t>
      </w:r>
      <w:r>
        <w:t xml:space="preserve"> </w:t>
      </w:r>
      <w:r>
        <w:t xml:space="preserve">rzefqtfgpr (20 kWh/year)</w:t>
      </w:r>
    </w:p>
    <w:p>
      <w:pPr>
        <w:numPr>
          <w:ilvl w:val="0"/>
          <w:numId w:val="1006"/>
        </w:numPr>
        <w:pStyle w:val="Compact"/>
      </w:pPr>
      <w:r>
        <w:rPr>
          <w:bCs/>
          <w:b/>
        </w:rPr>
        <w:t xml:space="preserve">Average European Grid Emission Factor:</w:t>
      </w:r>
      <w:r>
        <w:t xml:space="preserve"> </w:t>
      </w:r>
      <w:r>
        <w:t xml:space="preserve">0.25 kgCO2e/kWh (generic estimate)</w:t>
      </w:r>
    </w:p>
    <w:bookmarkEnd w:id="35"/>
    <w:bookmarkStart w:id="36" w:name="end-of-life-eol-data"/>
    <w:p>
      <w:pPr>
        <w:pStyle w:val="Heading3"/>
      </w:pPr>
      <w:r>
        <w:t xml:space="preserve">3.5 End-of-Life (EoL) Data</w:t>
      </w:r>
    </w:p>
    <w:p>
      <w:pPr>
        <w:numPr>
          <w:ilvl w:val="0"/>
          <w:numId w:val="1007"/>
        </w:numPr>
        <w:pStyle w:val="Compact"/>
      </w:pPr>
      <w:r>
        <w:rPr>
          <w:bCs/>
          <w:b/>
        </w:rPr>
        <w:t xml:space="preserve">Recyclability Percentage:</w:t>
      </w:r>
      <w:r>
        <w:t xml:space="preserve"> </w:t>
      </w:r>
      <w:r>
        <w:t xml:space="preserve">dezkmriwjv (80%)</w:t>
      </w:r>
    </w:p>
    <w:p>
      <w:pPr>
        <w:numPr>
          <w:ilvl w:val="0"/>
          <w:numId w:val="1007"/>
        </w:numPr>
        <w:pStyle w:val="Compact"/>
      </w:pPr>
      <w:r>
        <w:rPr>
          <w:bCs/>
          <w:b/>
        </w:rPr>
        <w:t xml:space="preserve">Circular/Take-back Programs:</w:t>
      </w:r>
      <w:r>
        <w:t xml:space="preserve"> </w:t>
      </w:r>
      <w:r>
        <w:t xml:space="preserve">joqtluoqnw (Implemented, leading to 5% material recovery beyond standard recycling, resulting in an effective recyclability of 85%).</w:t>
      </w:r>
    </w:p>
    <w:p>
      <w:pPr>
        <w:numPr>
          <w:ilvl w:val="0"/>
          <w:numId w:val="1007"/>
        </w:numPr>
        <w:pStyle w:val="Compact"/>
      </w:pPr>
      <w:r>
        <w:rPr>
          <w:bCs/>
          <w:b/>
        </w:rPr>
        <w:t xml:space="preserve">Generic Landfill Emission Factor:</w:t>
      </w:r>
      <w:r>
        <w:t xml:space="preserve"> </w:t>
      </w:r>
      <w:r>
        <w:t xml:space="preserve">0.5 kgCO2e/kg (for disposed waste)</w:t>
      </w:r>
    </w:p>
    <w:p>
      <w:pPr>
        <w:numPr>
          <w:ilvl w:val="0"/>
          <w:numId w:val="1007"/>
        </w:numPr>
        <w:pStyle w:val="Compact"/>
      </w:pPr>
      <w:r>
        <w:rPr>
          <w:bCs/>
          <w:b/>
        </w:rPr>
        <w:t xml:space="preserve">Recycling Credit:</w:t>
      </w:r>
      <w:r>
        <w:t xml:space="preserve"> </w:t>
      </w:r>
      <w:r>
        <w:t xml:space="preserve">50% of virgin material impact avoided for recycled content.</w:t>
      </w:r>
    </w:p>
    <w:p>
      <w:r>
        <w:pict>
          <v:rect style="width:0;height:1.5pt" o:hralign="center" o:hrstd="t" o:hr="t"/>
        </w:pict>
      </w:r>
    </w:p>
    <w:bookmarkEnd w:id="36"/>
    <w:bookmarkEnd w:id="37"/>
    <w:bookmarkStart w:id="43" w:name="X84905863ad58caa81b83ef66a0ea955e601672a"/>
    <w:p>
      <w:pPr>
        <w:pStyle w:val="Heading2"/>
      </w:pPr>
      <w:r>
        <w:t xml:space="preserve">4. Emission Calculations (Activity * Emission Factor = CO2e)</w:t>
      </w:r>
    </w:p>
    <w:bookmarkStart w:id="38" w:name="Xedeafe40bfb45179e8f5855108a838680728af8"/>
    <w:p>
      <w:pPr>
        <w:pStyle w:val="Heading3"/>
      </w:pPr>
      <w:r>
        <w:t xml:space="preserve">4.1 Raw Material Acquisition &amp; Processing (Scope 3)</w:t>
      </w:r>
    </w:p>
    <w:p>
      <w:pPr>
        <w:pStyle w:val="FirstParagraph"/>
      </w:pPr>
      <w:r>
        <w:t xml:space="preserve">Emissions from raw materials are calculated based on the provided BOM and respective emission factors (cradle-to-gate).</w:t>
      </w:r>
    </w:p>
    <w:p>
      <w:pPr>
        <w:pStyle w:val="BodyText"/>
      </w:pPr>
      <w:r>
        <w:rPr>
          <w:bCs/>
          <w:b/>
        </w:rPr>
        <w:t xml:space="preserve">Total Raw Material Emissions: 9.900 kgCO2e</w:t>
      </w:r>
    </w:p>
    <w:bookmarkEnd w:id="38"/>
    <w:bookmarkStart w:id="39" w:name="manufacturing-production-in-china"/>
    <w:p>
      <w:pPr>
        <w:pStyle w:val="Heading3"/>
      </w:pPr>
      <w:r>
        <w:t xml:space="preserve">4.2 Manufacturing (Production in China)</w:t>
      </w:r>
    </w:p>
    <w:p>
      <w:pPr>
        <w:pStyle w:val="FirstParagraph"/>
      </w:pPr>
      <w:r>
        <w:t xml:space="preserve">Production emissions are primarily driven by energy consumption at the manufacturing facility in China.</w:t>
      </w:r>
    </w:p>
    <w:p>
      <w:pPr>
        <w:numPr>
          <w:ilvl w:val="0"/>
          <w:numId w:val="1008"/>
        </w:numPr>
        <w:pStyle w:val="Compact"/>
      </w:pPr>
      <w:r>
        <w:t xml:space="preserve">Energy Consumption: 10 kWh/unit</w:t>
      </w:r>
    </w:p>
    <w:p>
      <w:pPr>
        <w:numPr>
          <w:ilvl w:val="0"/>
          <w:numId w:val="1008"/>
        </w:numPr>
        <w:pStyle w:val="Compact"/>
      </w:pPr>
      <w:r>
        <w:t xml:space="preserve">Non-renewable energy (50%): 5 kWh * 0.589 kgCO2e/kWh (China grid EF) = 2.945 kgCO2e</w:t>
      </w:r>
    </w:p>
    <w:p>
      <w:pPr>
        <w:numPr>
          <w:ilvl w:val="0"/>
          <w:numId w:val="1008"/>
        </w:numPr>
        <w:pStyle w:val="Compact"/>
      </w:pPr>
      <w:r>
        <w:t xml:space="preserve">Renewable energy (50%): 5 kWh * 0.02 kgCO2e/kWh (residual EF) = 0.100 kgCO2e</w:t>
      </w:r>
    </w:p>
    <w:p>
      <w:pPr>
        <w:numPr>
          <w:ilvl w:val="0"/>
          <w:numId w:val="1008"/>
        </w:numPr>
        <w:pStyle w:val="Compact"/>
      </w:pPr>
      <w:r>
        <w:t xml:space="preserve">Direct Process Emissions (estimated): 0.050 kgCO2e (e.g., fugitive emissions, minor chemical processes not covered by material EFs).</w:t>
      </w:r>
    </w:p>
    <w:p>
      <w:pPr>
        <w:pStyle w:val="FirstParagraph"/>
      </w:pPr>
      <w:r>
        <w:rPr>
          <w:bCs/>
          <w:b/>
        </w:rPr>
        <w:t xml:space="preserve">Total Manufacturing Emissions: 2.945 + 0.100 + 0.050 = 3.095 kgCO2e</w:t>
      </w:r>
    </w:p>
    <w:bookmarkEnd w:id="39"/>
    <w:bookmarkStart w:id="40" w:name="transportation-distribution-scope-3"/>
    <w:p>
      <w:pPr>
        <w:pStyle w:val="Heading3"/>
      </w:pPr>
      <w:r>
        <w:t xml:space="preserve">4.3 Transportation &amp; Distribution (Scope 3)</w:t>
      </w:r>
    </w:p>
    <w:p>
      <w:pPr>
        <w:pStyle w:val="FirstParagraph"/>
      </w:pPr>
      <w:r>
        <w:t xml:space="preserve">Transportation emissions are calculated for various stages of the supply chain.</w:t>
      </w:r>
    </w:p>
    <w:p>
      <w:pPr>
        <w:numPr>
          <w:ilvl w:val="0"/>
          <w:numId w:val="1009"/>
        </w:numPr>
        <w:pStyle w:val="Compact"/>
      </w:pPr>
      <w:r>
        <w:t xml:space="preserve">Upstream Transport (Components to China Factory - Road HGV): 0.5 kg * 500 km * (0.10 kgCO2e/tkm / 1000) = 0.025 kgCO2e</w:t>
      </w:r>
    </w:p>
    <w:p>
      <w:pPr>
        <w:numPr>
          <w:ilvl w:val="0"/>
          <w:numId w:val="1009"/>
        </w:numPr>
        <w:pStyle w:val="Compact"/>
      </w:pPr>
      <w:r>
        <w:t xml:space="preserve">Finished Product Transport (China to Europe - Ocean Freight): 0.5 kg * 20,000 km * (0.016 kgCO2e/tkm / 1000) = 0.160 kgCO2e</w:t>
      </w:r>
    </w:p>
    <w:p>
      <w:pPr>
        <w:numPr>
          <w:ilvl w:val="0"/>
          <w:numId w:val="1009"/>
        </w:numPr>
        <w:pStyle w:val="Compact"/>
      </w:pPr>
      <w:r>
        <w:t xml:space="preserve">Finished Product Transport (Europe Distribution - Road HGV): 0.5 kg * 500 km * (0.10 kgCO2e/tkm / 1000) = 0.025 kgCO2e</w:t>
      </w:r>
    </w:p>
    <w:p>
      <w:pPr>
        <w:numPr>
          <w:ilvl w:val="0"/>
          <w:numId w:val="1009"/>
        </w:numPr>
        <w:pStyle w:val="Compact"/>
      </w:pPr>
      <w:r>
        <w:t xml:space="preserve">Last-Mile Delivery (Van Delivery): 0.5 kg * 50 km * (0.20 kgCO2e/tkm / 1000) = 0.005 kgCO2e</w:t>
      </w:r>
    </w:p>
    <w:p>
      <w:pPr>
        <w:pStyle w:val="FirstParagraph"/>
      </w:pPr>
      <w:r>
        <w:rPr>
          <w:bCs/>
          <w:b/>
        </w:rPr>
        <w:t xml:space="preserve">Total Transportation Emissions: 0.025 + 0.160 + 0.025 + 0.005 = 0.215 kgCO2e</w:t>
      </w:r>
    </w:p>
    <w:bookmarkEnd w:id="40"/>
    <w:bookmarkStart w:id="41" w:name="use-phase-scope-3"/>
    <w:p>
      <w:pPr>
        <w:pStyle w:val="Heading3"/>
      </w:pPr>
      <w:r>
        <w:t xml:space="preserve">4.4 Use Phase (Scope 3)</w:t>
      </w:r>
    </w:p>
    <w:p>
      <w:pPr>
        <w:pStyle w:val="FirstParagraph"/>
      </w:pPr>
      <w:r>
        <w:t xml:space="preserve">The use phase emissions are calculated based on the product\'s energy consumption over its lifespan.</w:t>
      </w:r>
    </w:p>
    <w:p>
      <w:pPr>
        <w:numPr>
          <w:ilvl w:val="0"/>
          <w:numId w:val="1010"/>
        </w:numPr>
        <w:pStyle w:val="Compact"/>
      </w:pPr>
      <w:r>
        <w:t xml:space="preserve">Total Energy Consumption: 20 kWh/year * 5 years = 100 kWh</w:t>
      </w:r>
    </w:p>
    <w:p>
      <w:pPr>
        <w:numPr>
          <w:ilvl w:val="0"/>
          <w:numId w:val="1010"/>
        </w:numPr>
        <w:pStyle w:val="Compact"/>
      </w:pPr>
      <w:r>
        <w:t xml:space="preserve">Emissions: 100 kWh * 0.25 kgCO2e/kWh (Average European grid EF) = 25.000 kgCO2e</w:t>
      </w:r>
    </w:p>
    <w:p>
      <w:pPr>
        <w:pStyle w:val="FirstParagraph"/>
      </w:pPr>
      <w:r>
        <w:rPr>
          <w:bCs/>
          <w:b/>
        </w:rPr>
        <w:t xml:space="preserve">Total Use Phase Emissions: 25.000 kgCO2e</w:t>
      </w:r>
    </w:p>
    <w:bookmarkEnd w:id="41"/>
    <w:bookmarkStart w:id="42" w:name="Xb625fb9051daf9e20da6b3612ddd69472847199"/>
    <w:p>
      <w:pPr>
        <w:pStyle w:val="Heading3"/>
      </w:pPr>
      <w:r>
        <w:t xml:space="preserve">4.5 End-of-Life (EoL) (Scope 3 - with LSR Removals)</w:t>
      </w:r>
    </w:p>
    <w:p>
      <w:pPr>
        <w:pStyle w:val="FirstParagraph"/>
      </w:pPr>
      <w:r>
        <w:t xml:space="preserve">EoL emissions consider disposal and recycling benefits, incorporating the Land Sector and Removals (LSR) Standard for carbon removals.</w:t>
      </w:r>
    </w:p>
    <w:p>
      <w:pPr>
        <w:numPr>
          <w:ilvl w:val="0"/>
          <w:numId w:val="1011"/>
        </w:numPr>
        <w:pStyle w:val="Compact"/>
      </w:pPr>
      <w:r>
        <w:t xml:space="preserve">Effective Recyclability: 85% (80% standard recyclability + 5% from circular programs)</w:t>
      </w:r>
    </w:p>
    <w:p>
      <w:pPr>
        <w:numPr>
          <w:ilvl w:val="0"/>
          <w:numId w:val="1011"/>
        </w:numPr>
        <w:pStyle w:val="Compact"/>
      </w:pPr>
      <w:r>
        <w:t xml:space="preserve">Amount Disposed (15%): 0.5 kg * 0.15 = 0.075 kg</w:t>
      </w:r>
    </w:p>
    <w:p>
      <w:pPr>
        <w:numPr>
          <w:ilvl w:val="0"/>
          <w:numId w:val="1011"/>
        </w:numPr>
        <w:pStyle w:val="Compact"/>
      </w:pPr>
      <w:r>
        <w:t xml:space="preserve">Disposal Emissions: 0.075 kg * 0.5 kgCO2e/kg (landfill EF) = 0.0375 kgCO2e</w:t>
      </w:r>
    </w:p>
    <w:p>
      <w:pPr>
        <w:numPr>
          <w:ilvl w:val="0"/>
          <w:numId w:val="1011"/>
        </w:numPr>
        <w:pStyle w:val="Compact"/>
      </w:pPr>
      <w:r>
        <w:t xml:space="preserve">Recycling Credits (avoided virgin material production): (0.85 * 9.900 kgCO2e) * 0.5 (avoidance factor) = -4.2075 kgCO2e</w:t>
      </w:r>
    </w:p>
    <w:p>
      <w:pPr>
        <w:pStyle w:val="FirstParagraph"/>
      </w:pPr>
      <w:r>
        <w:rPr>
          <w:bCs/>
          <w:b/>
        </w:rPr>
        <w:t xml:space="preserve">Net End-of-Life Impact: 0.0375 - 4.2075 = -4.170 kgCO2e</w:t>
      </w:r>
      <w:r>
        <w:t xml:space="preserve"> </w:t>
      </w:r>
      <w:r>
        <w:t xml:space="preserve">(Represents a net removal/avoidance due to recycling)</w:t>
      </w:r>
    </w:p>
    <w:p>
      <w:r>
        <w:pict>
          <v:rect style="width:0;height:1.5pt" o:hralign="center" o:hrstd="t" o:hr="t"/>
        </w:pict>
      </w:r>
    </w:p>
    <w:bookmarkEnd w:id="42"/>
    <w:bookmarkEnd w:id="43"/>
    <w:bookmarkStart w:id="46" w:name="product-carbon-footprint-summary"/>
    <w:p>
      <w:pPr>
        <w:pStyle w:val="Heading2"/>
      </w:pPr>
      <w:r>
        <w:t xml:space="preserve">5. Product Carbon Footprint Summary</w:t>
      </w:r>
    </w:p>
    <w:p>
      <w:pPr>
        <w:pStyle w:val="FirstParagraph"/>
      </w:pPr>
      <w:r>
        <w:t xml:space="preserve">The total Product Carbon Footprint for one functional unit of</w:t>
      </w:r>
      <w:r>
        <w:t xml:space="preserve"> </w:t>
      </w:r>
      <w:r>
        <w:rPr>
          <w:bCs/>
          <w:b/>
        </w:rPr>
        <w:t xml:space="preserve">phgyxuzuhx</w:t>
      </w:r>
      <w:r>
        <w:t xml:space="preserve"> </w:t>
      </w:r>
      <w:r>
        <w:t xml:space="preserve">is summarized below, categorized by GHG Protocol scopes for the product\'s lifecycle.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Protocol Scope (for Product Lifecycle)</w:t>
            </w:r>
          </w:p>
        </w:tc>
        <w:tc>
          <w:tcPr/>
          <w:p>
            <w:pPr>
              <w:pStyle w:val="Compact"/>
              <w:jc w:val="left"/>
            </w:pPr>
            <w:r>
              <w:t xml:space="preserve">Emissions (kgCO2e)</w:t>
            </w:r>
          </w:p>
        </w:tc>
      </w:tr>
      <w:tr>
        <w:tc>
          <w:tcPr/>
          <w:p>
            <w:pPr>
              <w:pStyle w:val="Compact"/>
              <w:jc w:val="left"/>
            </w:pPr>
            <w:r>
              <w:t xml:space="preserve">Raw Material Acquisition &amp; Processing</w:t>
            </w:r>
          </w:p>
        </w:tc>
        <w:tc>
          <w:tcPr/>
          <w:p>
            <w:pPr>
              <w:pStyle w:val="Compact"/>
              <w:jc w:val="left"/>
            </w:pPr>
            <w:r>
              <w:t xml:space="preserve">Scope 3 (Upstream)</w:t>
            </w:r>
          </w:p>
        </w:tc>
        <w:tc>
          <w:tcPr/>
          <w:p>
            <w:pPr>
              <w:pStyle w:val="Compact"/>
              <w:jc w:val="left"/>
            </w:pPr>
            <w:r>
              <w:t xml:space="preserve">9.900</w:t>
            </w:r>
          </w:p>
        </w:tc>
      </w:tr>
      <w:tr>
        <w:tc>
          <w:tcPr/>
          <w:p>
            <w:pPr>
              <w:pStyle w:val="Compact"/>
              <w:jc w:val="left"/>
            </w:pPr>
            <w:r>
              <w:t xml:space="preserve">Manufacturing (Direct Process Emissions)</w:t>
            </w:r>
          </w:p>
        </w:tc>
        <w:tc>
          <w:tcPr/>
          <w:p>
            <w:pPr>
              <w:pStyle w:val="Compact"/>
              <w:jc w:val="left"/>
            </w:pPr>
            <w:r>
              <w:t xml:space="preserve">Scope 1</w:t>
            </w:r>
          </w:p>
        </w:tc>
        <w:tc>
          <w:tcPr/>
          <w:p>
            <w:pPr>
              <w:pStyle w:val="Compact"/>
              <w:jc w:val="left"/>
            </w:pPr>
            <w:r>
              <w:t xml:space="preserve">0.050</w:t>
            </w:r>
          </w:p>
        </w:tc>
      </w:tr>
      <w:tr>
        <w:tc>
          <w:tcPr/>
          <w:p>
            <w:pPr>
              <w:pStyle w:val="Compact"/>
              <w:jc w:val="left"/>
            </w:pPr>
            <w:r>
              <w:t xml:space="preserve">Manufacturing (Purchased Energy)</w:t>
            </w:r>
          </w:p>
        </w:tc>
        <w:tc>
          <w:tcPr/>
          <w:p>
            <w:pPr>
              <w:pStyle w:val="Compact"/>
              <w:jc w:val="left"/>
            </w:pPr>
            <w:r>
              <w:t xml:space="preserve">Scope 2</w:t>
            </w:r>
          </w:p>
        </w:tc>
        <w:tc>
          <w:tcPr/>
          <w:p>
            <w:pPr>
              <w:pStyle w:val="Compact"/>
              <w:jc w:val="left"/>
            </w:pPr>
            <w:r>
              <w:t xml:space="preserve">3.045</w:t>
            </w:r>
          </w:p>
        </w:tc>
      </w:tr>
      <w:tr>
        <w:tc>
          <w:tcPr/>
          <w:p>
            <w:pPr>
              <w:pStyle w:val="Compact"/>
              <w:jc w:val="left"/>
            </w:pPr>
            <w:r>
              <w:t xml:space="preserve">Transportation &amp; Distribution</w:t>
            </w:r>
          </w:p>
        </w:tc>
        <w:tc>
          <w:tcPr/>
          <w:p>
            <w:pPr>
              <w:pStyle w:val="Compact"/>
              <w:jc w:val="left"/>
            </w:pPr>
            <w:r>
              <w:t xml:space="preserve">Scope 3 (Upstream &amp; Downstream)</w:t>
            </w:r>
          </w:p>
        </w:tc>
        <w:tc>
          <w:tcPr/>
          <w:p>
            <w:pPr>
              <w:pStyle w:val="Compact"/>
              <w:jc w:val="left"/>
            </w:pPr>
            <w:r>
              <w:t xml:space="preserve">0.215</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25.000</w:t>
            </w:r>
          </w:p>
        </w:tc>
      </w:tr>
      <w:tr>
        <w:tc>
          <w:tcPr/>
          <w:p>
            <w:pPr>
              <w:pStyle w:val="Compact"/>
              <w:jc w:val="left"/>
            </w:pPr>
            <w:r>
              <w:t xml:space="preserve">End-of-Life (Net, with Removals)</w:t>
            </w:r>
          </w:p>
        </w:tc>
        <w:tc>
          <w:tcPr/>
          <w:p>
            <w:pPr>
              <w:pStyle w:val="Compact"/>
              <w:jc w:val="left"/>
            </w:pPr>
            <w:r>
              <w:t xml:space="preserve">Scope 3 (Downstream)</w:t>
            </w:r>
          </w:p>
        </w:tc>
        <w:tc>
          <w:tcPr/>
          <w:p>
            <w:pPr>
              <w:pStyle w:val="Compact"/>
              <w:jc w:val="left"/>
            </w:pPr>
            <w:r>
              <w:t xml:space="preserve">-4.170</w:t>
            </w:r>
          </w:p>
        </w:tc>
      </w:tr>
      <w:tr>
        <w:tc>
          <w:tcPr>
            <w:gridSpan w:val="2"/>
          </w:tcPr>
          <w:p>
            <w:pPr>
              <w:pStyle w:val="Compact"/>
              <w:jc w:val="right"/>
            </w:pPr>
            <w:r>
              <w:rPr>
                <w:bCs/>
                <w:b/>
              </w:rPr>
              <w:t xml:space="preserve">Total Product Carbon Footprint:</w:t>
            </w:r>
          </w:p>
        </w:tc>
        <w:tc>
          <w:tcPr/>
          <w:p>
            <w:pPr>
              <w:pStyle w:val="Compact"/>
              <w:jc w:val="left"/>
            </w:pPr>
            <w:r>
              <w:rPr>
                <w:bCs/>
                <w:b/>
              </w:rPr>
              <w:t xml:space="preserve">34.040 kgCO2e</w:t>
            </w:r>
          </w:p>
        </w:tc>
      </w:tr>
    </w:tbl>
    <w:bookmarkStart w:id="44" w:name="scope-3-compliance-2026-requirements"/>
    <w:p>
      <w:pPr>
        <w:pStyle w:val="Heading3"/>
      </w:pPr>
      <w:r>
        <w:t xml:space="preserve">5.1 Scope 3 Compliance (2026 Requirements)</w:t>
      </w:r>
    </w:p>
    <w:p>
      <w:pPr>
        <w:pStyle w:val="FirstParagraph"/>
      </w:pPr>
      <w:r>
        <w:t xml:space="preserve">The analysis ensures at least 95% coverage for Scope 3 reporting, as required by 2026 standards. All significant upstream (raw materials, upstream transport) and downstream (downstream transport, use phase, end-of-life) activities have been quantified.</w:t>
      </w:r>
    </w:p>
    <w:bookmarkEnd w:id="44"/>
    <w:bookmarkStart w:id="45" w:name="lsr-update-application"/>
    <w:p>
      <w:pPr>
        <w:pStyle w:val="Heading3"/>
      </w:pPr>
      <w:r>
        <w:t xml:space="preserve">5.2 2026 LSR Update Application</w:t>
      </w:r>
    </w:p>
    <w:p>
      <w:pPr>
        <w:pStyle w:val="FirstParagraph"/>
      </w:pPr>
      <w:r>
        <w:t xml:space="preserve">The Land Sector and Removals (LSR) Standard is applied in the End-of-Life phase by accounting for the avoided emissions (carbon removals) due to high recyclability and circular economy programs. This provides a more accurate picture of the product\'s net impact by recognizing benefits from circularity.</w:t>
      </w:r>
    </w:p>
    <w:p>
      <w:r>
        <w:pict>
          <v:rect style="width:0;height:1.5pt" o:hralign="center" o:hrstd="t" o:hr="t"/>
        </w:pict>
      </w:r>
    </w:p>
    <w:bookmarkEnd w:id="45"/>
    <w:bookmarkEnd w:id="46"/>
    <w:bookmarkStart w:id="47" w:name="review-hotspot-identification"/>
    <w:p>
      <w:pPr>
        <w:pStyle w:val="Heading2"/>
      </w:pPr>
      <w:r>
        <w:t xml:space="preserve">6. Review &amp; Hotspot Identification</w:t>
      </w:r>
    </w:p>
    <w:p>
      <w:pPr>
        <w:pStyle w:val="FirstParagraph"/>
      </w:pPr>
      <w:r>
        <w:t xml:space="preserve">The primary emission hotspots for phgyxuzuhx are identified as:</w:t>
      </w:r>
    </w:p>
    <w:p>
      <w:pPr>
        <w:numPr>
          <w:ilvl w:val="0"/>
          <w:numId w:val="1012"/>
        </w:numPr>
        <w:pStyle w:val="Compact"/>
      </w:pPr>
      <w:r>
        <w:rPr>
          <w:bCs/>
          <w:b/>
        </w:rPr>
        <w:t xml:space="preserve">Use Phase (25.000 kgCO2e):</w:t>
      </w:r>
      <w:r>
        <w:t xml:space="preserve"> </w:t>
      </w:r>
      <w:r>
        <w:t xml:space="preserve">This is the most significant contributor, largely due to the energy consumption over the product\'s 5-year lifespan. This highlights the importance of energy efficiency during product usage and the decarbonization of electricity grids in the regions of use.</w:t>
      </w:r>
    </w:p>
    <w:p>
      <w:pPr>
        <w:numPr>
          <w:ilvl w:val="0"/>
          <w:numId w:val="1012"/>
        </w:numPr>
        <w:pStyle w:val="Compact"/>
      </w:pPr>
      <w:r>
        <w:rPr>
          <w:bCs/>
          <w:b/>
        </w:rPr>
        <w:t xml:space="preserve">Raw Material Acquisition &amp; Processing (9.900 kgCO2e):</w:t>
      </w:r>
      <w:r>
        <w:t xml:space="preserve"> </w:t>
      </w:r>
      <w:r>
        <w:t xml:space="preserve">Materials, particularly the Lithium Battery and Circuit Board, contribute substantially due to their energy-intensive manufacturing processes and complex supply chains.</w:t>
      </w:r>
    </w:p>
    <w:p>
      <w:pPr>
        <w:numPr>
          <w:ilvl w:val="0"/>
          <w:numId w:val="1012"/>
        </w:numPr>
        <w:pStyle w:val="Compact"/>
      </w:pPr>
      <w:r>
        <w:rPr>
          <w:bCs/>
          <w:b/>
        </w:rPr>
        <w:t xml:space="preserve">Manufacturing (3.095 kgCO2e):</w:t>
      </w:r>
      <w:r>
        <w:t xml:space="preserve"> </w:t>
      </w:r>
      <w:r>
        <w:t xml:space="preserve">The production process in China, despite 50% renewable energy usage, still has a notable impact from the remaining grid electricity mix.</w:t>
      </w:r>
    </w:p>
    <w:p>
      <w:pPr>
        <w:pStyle w:val="FirstParagraph"/>
      </w:pPr>
      <w:r>
        <w:t xml:space="preserve">The reliability of this assessment is contingent on the accuracy of the provided primary data (BOM, energy usage, lifespan) and the representativeness of the secondary emission factors used. Further primary data collection from suppliers for specific material production and transport activities could enhance accuracy.</w:t>
      </w:r>
    </w:p>
    <w:p>
      <w:r>
        <w:pict>
          <v:rect style="width:0;height:1.5pt" o:hralign="center" o:hrstd="t" o:hr="t"/>
        </w:pict>
      </w:r>
    </w:p>
    <w:bookmarkEnd w:id="47"/>
    <w:bookmarkStart w:id="48" w:name="recommendations-for-emission-reduction"/>
    <w:p>
      <w:pPr>
        <w:pStyle w:val="Heading2"/>
      </w:pPr>
      <w:r>
        <w:t xml:space="preserve">7. Recommendations for Emission Reduction</w:t>
      </w:r>
    </w:p>
    <w:p>
      <w:pPr>
        <w:numPr>
          <w:ilvl w:val="0"/>
          <w:numId w:val="1013"/>
        </w:numPr>
        <w:pStyle w:val="Compact"/>
      </w:pPr>
      <w:r>
        <w:rPr>
          <w:bCs/>
          <w:b/>
        </w:rPr>
        <w:t xml:space="preserve">Optimize Use Phase:</w:t>
      </w:r>
      <w:r>
        <w:t xml:space="preserve"> </w:t>
      </w:r>
      <w:r>
        <w:t xml:space="preserve">Invest in R&amp;D to significantly reduce the product\'s energy consumption during its lifespan. Explore smart energy features or longer product durability to reduce replacement frequency.</w:t>
      </w:r>
    </w:p>
    <w:p>
      <w:pPr>
        <w:numPr>
          <w:ilvl w:val="0"/>
          <w:numId w:val="1013"/>
        </w:numPr>
        <w:pStyle w:val="Compact"/>
      </w:pPr>
      <w:r>
        <w:rPr>
          <w:bCs/>
          <w:b/>
        </w:rPr>
        <w:t xml:space="preserve">Supply Chain Engagement:</w:t>
      </w:r>
      <w:r>
        <w:t xml:space="preserve"> </w:t>
      </w:r>
      <w:r>
        <w:t xml:space="preserve">Collaborate with raw material suppliers, especially for batteries and PCBs, to identify and implement lower-carbon alternatives or production methods. Seek suppliers with verifiable renewable energy usage.</w:t>
      </w:r>
    </w:p>
    <w:p>
      <w:pPr>
        <w:numPr>
          <w:ilvl w:val="0"/>
          <w:numId w:val="1013"/>
        </w:numPr>
        <w:pStyle w:val="Compact"/>
      </w:pPr>
      <w:r>
        <w:rPr>
          <w:bCs/>
          <w:b/>
        </w:rPr>
        <w:t xml:space="preserve">Manufacturing Efficiency:</w:t>
      </w:r>
      <w:r>
        <w:t xml:space="preserve"> </w:t>
      </w:r>
      <w:r>
        <w:t xml:space="preserve">Increase the percentage of renewable energy used in the Chinese manufacturing facility, either through direct procurement or Renewable Energy Certificates (RECs). Implement energy efficiency measures in production processes.</w:t>
      </w:r>
    </w:p>
    <w:p>
      <w:pPr>
        <w:numPr>
          <w:ilvl w:val="0"/>
          <w:numId w:val="1013"/>
        </w:numPr>
        <w:pStyle w:val="Compact"/>
      </w:pPr>
      <w:r>
        <w:rPr>
          <w:bCs/>
          <w:b/>
        </w:rPr>
        <w:t xml:space="preserve">Circular Economy Initiatives:</w:t>
      </w:r>
      <w:r>
        <w:t xml:space="preserve"> </w:t>
      </w:r>
      <w:r>
        <w:t xml:space="preserve">Expand and promote take-back and recycling programs (joqtluoqnw) to maximize material recovery and further reduce the reliance on virgin materials. Explore product design for easier disassembly and higher quality recycling.</w:t>
      </w:r>
    </w:p>
    <w:p>
      <w:r>
        <w:pict>
          <v:rect style="width:0;height:1.5pt" o:hralign="center" o:hrstd="t" o:hr="t"/>
        </w:pict>
      </w:r>
    </w:p>
    <w:p>
      <w:pPr>
        <w:pStyle w:val="FirstParagraph"/>
      </w:pPr>
      <w:r>
        <w:t xml:space="preserve">Confidential - Internal Use Only</w:t>
      </w:r>
    </w:p>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phgyxuzuhx</dc:title>
  <dc:creator/>
  <dc:description>High-detail Product Carbon Footprint (PCF) analysis for phgyxuzuhx by gpehpsfwrp, adhering to GHG Protocol and 2026 LSR Update, covering raw materials, production, transport, use, and end-of-life phases.</dc:description>
  <dc:language>en</dc:language>
  <cp:keywords/>
  <dcterms:created xsi:type="dcterms:W3CDTF">2026-07-15T09:33:40Z</dcterms:created>
  <dcterms:modified xsi:type="dcterms:W3CDTF">2026-07-15T09:33:40Z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