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nwgoexgkpr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nwgoexgkpr</w:t>
      </w:r>
    </w:p>
    <w:p>
      <w:pPr>
        <w:pStyle w:val="BodyText"/>
      </w:pPr>
      <w:r>
        <w:t xml:space="preserve">Company Name:</w:t>
      </w:r>
      <w:r>
        <w:t xml:space="preserve"> </w:t>
      </w:r>
      <w:r>
        <w:rPr>
          <w:bCs/>
          <w:b/>
        </w:rPr>
        <w:t xml:space="preserve">issinpzsww</w:t>
      </w:r>
    </w:p>
    <w:p>
      <w:pPr>
        <w:pStyle w:val="BodyText"/>
      </w:pPr>
      <w:r>
        <w:t xml:space="preserve">Senior Sustainability Consultant:</w:t>
      </w:r>
      <w:r>
        <w:t xml:space="preserve"> </w:t>
      </w:r>
      <w:r>
        <w:rPr>
          <w:bCs/>
          <w:b/>
        </w:rPr>
        <w:t xml:space="preserve">iwsdsjkhjm</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user-provided parameters, and industry standards. While efforts have been made to ensure accuracy, real-world conditions may vary.</w:t>
      </w:r>
    </w:p>
    <w:bookmarkEnd w:id="20"/>
    <w:p>
      <w:pPr>
        <w:pStyle w:val="BodyText"/>
      </w:pPr>
      <w:r>
        <w:t xml:space="preserve">Report Generated: May 26, 2026</w:t>
      </w:r>
    </w:p>
    <w:bookmarkStart w:id="49" w:name="executive-summary"/>
    <w:p>
      <w:pPr>
        <w:pStyle w:val="Heading1"/>
      </w:pPr>
      <w:r>
        <w:t xml:space="preserve">Executive Summary</w:t>
      </w:r>
    </w:p>
    <w:p>
      <w:pPr>
        <w:pStyle w:val="FirstParagraph"/>
      </w:pPr>
      <w:r>
        <w:t xml:space="preserve">This report presents a high-detail Product Carbon Footprint (PCF) analysis for \'nwgoexgkpr\', developed for \'issinpzsww\' by Senior Sustainability Consultant \'iwsdsjkhjm\'. The analysis adheres strictly to the GHG Protocol, including the 2026 Land Sector and Removals (LSR) Standard and ensuring at least 95% Scope 3 coverage. The PCF quantifies the total greenhouse gas emissions associated with the product\'s lifecycle, from raw material extraction through manufacturing, transport, use, and end-of-life. Key hotspots identified include material production and the use phase, with significant opportunities for reduction through increased renewable energy adoption and enhanced circularity initiatives.</w:t>
      </w:r>
    </w:p>
    <w:p>
      <w:r>
        <w:pict>
          <v:rect style="width:0;height:1.5pt" o:hralign="center" o:hrstd="t" o:hr="t"/>
        </w:pict>
      </w:r>
    </w:p>
    <w:bookmarkStart w:id="25" w:name="define-scope"/>
    <w:p>
      <w:pPr>
        <w:pStyle w:val="Heading2"/>
      </w:pPr>
      <w:r>
        <w:t xml:space="preserve">1. Define Scope</w:t>
      </w:r>
    </w:p>
    <w:bookmarkStart w:id="21"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nwgoexgkpr</w:t>
      </w:r>
      <w:r>
        <w:t xml:space="preserve">. This unit serves as the reference basis for quantifying all relevant environmental inputs and outputs throughout the product\'s lifecycle.</w:t>
      </w:r>
    </w:p>
    <w:bookmarkEnd w:id="21"/>
    <w:bookmarkStart w:id="22" w:name="system-boundary"/>
    <w:p>
      <w:pPr>
        <w:pStyle w:val="Heading3"/>
      </w:pPr>
      <w:r>
        <w:t xml:space="preserve">System Boundary</w:t>
      </w:r>
    </w:p>
    <w:p>
      <w:pPr>
        <w:pStyle w:val="FirstParagraph"/>
      </w:pPr>
      <w:r>
        <w:t xml:space="preserve">The system boundary for this PCF study is defined as</w:t>
      </w:r>
      <w:r>
        <w:t xml:space="preserve"> </w:t>
      </w:r>
      <w:r>
        <w:rPr>
          <w:bCs/>
          <w:b/>
        </w:rPr>
        <w:t xml:space="preserve">"factory_gate"</w:t>
      </w:r>
      <w:r>
        <w:t xml:space="preserve">. This means the primary focus of the analysis covers emissions from raw material acquisition, manufacturing (up to the point the product leaves the factory gate), and associated upstream transportation. Downstream emissions from product distribution, use, and end-of-life are also included to provide a comprehensive cradle-to-grave perspective, consistent with GHG Protocol Product Standard requirements for full lifecycle assessment.</w:t>
      </w:r>
    </w:p>
    <w:bookmarkEnd w:id="22"/>
    <w:bookmarkStart w:id="23" w:name="geographic-scope"/>
    <w:p>
      <w:pPr>
        <w:pStyle w:val="Heading3"/>
      </w:pPr>
      <w:r>
        <w:t xml:space="preserve">Geographic Scope</w:t>
      </w:r>
    </w:p>
    <w:p>
      <w:pPr>
        <w:pStyle w:val="FirstParagraph"/>
      </w:pPr>
      <w:r>
        <w:t xml:space="preserve">The final production country for nwgoexgkpr is</w:t>
      </w:r>
      <w:r>
        <w:t xml:space="preserve"> </w:t>
      </w:r>
      <w:r>
        <w:rPr>
          <w:bCs/>
          <w:b/>
        </w:rPr>
        <w:t xml:space="preserve">China</w:t>
      </w:r>
      <w:r>
        <w:t xml:space="preserve">. The supply chain focus is</w:t>
      </w:r>
      <w:r>
        <w:t xml:space="preserve"> </w:t>
      </w:r>
      <w:r>
        <w:rPr>
          <w:bCs/>
          <w:b/>
        </w:rPr>
        <w:t xml:space="preserve">Europe Focused</w:t>
      </w:r>
      <w:r>
        <w:t xml:space="preserve">, implying that while final assembly occurs in China, significant material sourcing and intermediate processing may originate from or be heavily influenced by European supply chain practices. This dual focus necessitates the use of country-specific emission factors where available for production energy and transport routes.</w:t>
      </w:r>
    </w:p>
    <w:bookmarkEnd w:id="23"/>
    <w:bookmarkStart w:id="24" w:name="allocation"/>
    <w:p>
      <w:pPr>
        <w:pStyle w:val="Heading3"/>
      </w:pPr>
      <w:r>
        <w:t xml:space="preserve">Allocation</w:t>
      </w:r>
    </w:p>
    <w:p>
      <w:pPr>
        <w:pStyle w:val="FirstParagraph"/>
      </w:pPr>
      <w:r>
        <w:t xml:space="preserve">Emissions are allocated to the functional unit based on mass and economic allocation principles where co-products or by-products occur. For shared processes (e.g., factory overheads), emissions are allocated based on the product\'s share of total production volume or revenue, ensuring fair and representative distribution of impacts.</w:t>
      </w:r>
    </w:p>
    <w:p>
      <w:r>
        <w:pict>
          <v:rect style="width:0;height:1.5pt" o:hralign="center" o:hrstd="t" o:hr="t"/>
        </w:pict>
      </w:r>
    </w:p>
    <w:bookmarkEnd w:id="24"/>
    <w:bookmarkEnd w:id="25"/>
    <w:bookmarkStart w:id="31"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analysis of nwgoexgkpr. Data was primarily derived from user-provided parameters, including a detailed Bill of Materials (BOM), specific logistics data, energy customization data, use phase information, and end-of-life scenarios. Where explicit emission factors were not provided for specific activities, industry-standard factors from reputable databases (such as IEA, DEFRA, and recognized scientific literature) were applied.</w:t>
      </w:r>
    </w:p>
    <w:bookmarkStart w:id="26" w:name="Xd8da49a73586b14c25354d8876546fdbb6decb6"/>
    <w:p>
      <w:pPr>
        <w:pStyle w:val="Heading3"/>
      </w:pPr>
      <w:r>
        <w:t xml:space="preserve">Detailed Bill of Materials (BOM) Analysis for nwgoexgkpr</w:t>
      </w:r>
    </w:p>
    <w:p>
      <w:pPr>
        <w:pStyle w:val="FirstParagraph"/>
      </w:pPr>
      <w:r>
        <w:t xml:space="preserve">The following Bill of Materials (BOM) data, provided as \'gpeexfsu\', was used to calculate the material impact with high accuracy. The values specified for Emission Factor and Total Carbon were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S001</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6"/>
          </w:tcPr>
          <w:p>
            <w:pPr>
              <w:pStyle w:val="Compact"/>
              <w:jc w:val="left"/>
            </w:pPr>
            <w:r>
              <w:t xml:space="preserve">Total Material Carbon Footprint</w:t>
            </w:r>
          </w:p>
        </w:tc>
        <w:tc>
          <w:tcPr/>
          <w:p>
            <w:pPr>
              <w:pStyle w:val="Compact"/>
            </w:pPr>
          </w:p>
        </w:tc>
        <w:tc>
          <w:tcPr/>
          <w:p>
            <w:pPr>
              <w:pStyle w:val="Compact"/>
              <w:jc w:val="left"/>
            </w:pPr>
            <w:r>
              <w:t xml:space="preserve">7.05</w:t>
            </w:r>
          </w:p>
        </w:tc>
      </w:tr>
    </w:tbl>
    <w:p>
      <w:pPr>
        <w:pStyle w:val="BodyText"/>
      </w:pPr>
      <w:r>
        <w:rPr>
          <w:iCs/>
          <w:i/>
        </w:rPr>
        <w:t xml:space="preserve">Note: The "Total Carbon (kgCO2e)" values were directly provided within the BOM and used as presented.</w:t>
      </w:r>
    </w:p>
    <w:bookmarkEnd w:id="26"/>
    <w:bookmarkStart w:id="27" w:name="energy-inputs-production-data"/>
    <w:p>
      <w:pPr>
        <w:pStyle w:val="Heading3"/>
      </w:pPr>
      <w:r>
        <w:t xml:space="preserve">Energy Inputs &amp; Production Data</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Renewable Energy Usage:</w:t>
      </w:r>
      <w:r>
        <w:t xml:space="preserve"> </w:t>
      </w:r>
      <w:r>
        <w:t xml:space="preserve">60% (orfpnjgllr)</w:t>
      </w:r>
    </w:p>
    <w:p>
      <w:pPr>
        <w:numPr>
          <w:ilvl w:val="0"/>
          <w:numId w:val="1001"/>
        </w:numPr>
        <w:pStyle w:val="Compact"/>
      </w:pPr>
      <w:r>
        <w:rPr>
          <w:bCs/>
          <w:b/>
        </w:rPr>
        <w:t xml:space="preserve">Energy Intensity (kWh/unit):</w:t>
      </w:r>
      <w:r>
        <w:t xml:space="preserve"> </w:t>
      </w:r>
      <w:r>
        <w:t xml:space="preserve">20 kWh/unit (edtmtndrfg)</w:t>
      </w:r>
    </w:p>
    <w:p>
      <w:pPr>
        <w:numPr>
          <w:ilvl w:val="0"/>
          <w:numId w:val="1001"/>
        </w:numPr>
        <w:pStyle w:val="Compact"/>
      </w:pPr>
      <w:r>
        <w:rPr>
          <w:bCs/>
          <w:b/>
        </w:rPr>
        <w:t xml:space="preserve">Grid Electricity Emission Factor (China):</w:t>
      </w:r>
      <w:r>
        <w:t xml:space="preserve"> </w:t>
      </w:r>
      <w:r>
        <w:t xml:space="preserve">An average emission factor for grid electricity in China is approximately 0.58 kgCO2e/kWh.</w:t>
      </w:r>
    </w:p>
    <w:p>
      <w:pPr>
        <w:numPr>
          <w:ilvl w:val="0"/>
          <w:numId w:val="1001"/>
        </w:numPr>
        <w:pStyle w:val="Compact"/>
      </w:pPr>
      <w:r>
        <w:rPr>
          <w:bCs/>
          <w:b/>
        </w:rPr>
        <w:t xml:space="preserve">Calculation of Production Energy Emissions:</w:t>
      </w:r>
    </w:p>
    <w:p>
      <w:pPr>
        <w:numPr>
          <w:ilvl w:val="1"/>
          <w:numId w:val="1002"/>
        </w:numPr>
        <w:pStyle w:val="Compact"/>
      </w:pPr>
      <w:r>
        <w:t xml:space="preserve">Total Energy Needed: 20 kWh/unit</w:t>
      </w:r>
    </w:p>
    <w:p>
      <w:pPr>
        <w:numPr>
          <w:ilvl w:val="1"/>
          <w:numId w:val="1002"/>
        </w:numPr>
        <w:pStyle w:val="Compact"/>
      </w:pPr>
      <w:r>
        <w:t xml:space="preserve">Renewable Energy Share: 60%</w:t>
      </w:r>
    </w:p>
    <w:p>
      <w:pPr>
        <w:numPr>
          <w:ilvl w:val="1"/>
          <w:numId w:val="1002"/>
        </w:numPr>
        <w:pStyle w:val="Compact"/>
      </w:pPr>
      <w:r>
        <w:t xml:space="preserve">Non-Renewable Energy Share: 40% (1 - 0.60)</w:t>
      </w:r>
    </w:p>
    <w:p>
      <w:pPr>
        <w:numPr>
          <w:ilvl w:val="1"/>
          <w:numId w:val="1002"/>
        </w:numPr>
        <w:pStyle w:val="Compact"/>
      </w:pPr>
      <w:r>
        <w:t xml:space="preserve">Non-Renewable Energy Consumed: 20 kWh * 0.40 = 8 kWh/unit</w:t>
      </w:r>
    </w:p>
    <w:p>
      <w:pPr>
        <w:numPr>
          <w:ilvl w:val="1"/>
          <w:numId w:val="1002"/>
        </w:numPr>
        <w:pStyle w:val="Compact"/>
      </w:pPr>
      <w:r>
        <w:t xml:space="preserve">Emissions from Production Energy: 8 kWh/unit * 0.58 kgCO2e/kWh = 4.64 kgCO2e/unit</w:t>
      </w:r>
    </w:p>
    <w:bookmarkEnd w:id="27"/>
    <w:bookmarkStart w:id="28" w:name="logistics-data"/>
    <w:p>
      <w:pPr>
        <w:pStyle w:val="Heading3"/>
      </w:pPr>
      <w:r>
        <w:t xml:space="preserve">Logistics Data</w:t>
      </w:r>
    </w:p>
    <w:p>
      <w:pPr>
        <w:numPr>
          <w:ilvl w:val="0"/>
          <w:numId w:val="1003"/>
        </w:numPr>
        <w:pStyle w:val="Compact"/>
      </w:pPr>
      <w:r>
        <w:rPr>
          <w:bCs/>
          <w:b/>
        </w:rPr>
        <w:t xml:space="preserve">Transport Mode:</w:t>
      </w:r>
      <w:r>
        <w:t xml:space="preserve"> </w:t>
      </w:r>
      <w:r>
        <w:t xml:space="preserve">Ocean Freight (Intercontinental), Truck (Regional) (Select Mode)</w:t>
      </w:r>
    </w:p>
    <w:p>
      <w:pPr>
        <w:numPr>
          <w:ilvl w:val="0"/>
          <w:numId w:val="1003"/>
        </w:numPr>
        <w:pStyle w:val="Compact"/>
      </w:pPr>
      <w:r>
        <w:rPr>
          <w:bCs/>
          <w:b/>
        </w:rPr>
        <w:t xml:space="preserve">Transport Distance:</w:t>
      </w:r>
      <w:r>
        <w:t xml:space="preserve"> </w:t>
      </w:r>
      <w:r>
        <w:t xml:space="preserve">Ocean: 12,000 km, Truck: 800 km (niweinehjh)</w:t>
      </w:r>
    </w:p>
    <w:p>
      <w:pPr>
        <w:numPr>
          <w:ilvl w:val="0"/>
          <w:numId w:val="1003"/>
        </w:numPr>
        <w:pStyle w:val="Compact"/>
      </w:pPr>
      <w:r>
        <w:rPr>
          <w:bCs/>
          <w:b/>
        </w:rPr>
        <w:t xml:space="preserve">Last-Mile Delivery Channel:</w:t>
      </w:r>
      <w:r>
        <w:t xml:space="preserve"> </w:t>
      </w:r>
      <w:r>
        <w:t xml:space="preserve">Standard Parcel Delivery (Road) (Delivery Type)</w:t>
      </w:r>
    </w:p>
    <w:p>
      <w:pPr>
        <w:numPr>
          <w:ilvl w:val="0"/>
          <w:numId w:val="1003"/>
        </w:numPr>
        <w:pStyle w:val="Compact"/>
      </w:pPr>
      <w:r>
        <w:rPr>
          <w:bCs/>
          <w:b/>
        </w:rPr>
        <w:t xml:space="preserve">Assumed Product Weight for Transport:</w:t>
      </w:r>
      <w:r>
        <w:t xml:space="preserve"> </w:t>
      </w:r>
      <w:r>
        <w:t xml:space="preserve">1.0 kg (illustrative, for calculation example)</w:t>
      </w:r>
    </w:p>
    <w:p>
      <w:pPr>
        <w:numPr>
          <w:ilvl w:val="0"/>
          <w:numId w:val="1003"/>
        </w:numPr>
        <w:pStyle w:val="Compact"/>
      </w:pPr>
      <w:r>
        <w:rPr>
          <w:bCs/>
          <w:b/>
        </w:rPr>
        <w:t xml:space="preserve">Emission Factor - Ocean Freight:</w:t>
      </w:r>
      <w:r>
        <w:t xml:space="preserve"> </w:t>
      </w:r>
      <w:r>
        <w:t xml:space="preserve">Approximately 0.016 kgCO2e/tkm (16 gCO2e/tkm).</w:t>
      </w:r>
    </w:p>
    <w:p>
      <w:pPr>
        <w:numPr>
          <w:ilvl w:val="0"/>
          <w:numId w:val="1003"/>
        </w:numPr>
        <w:pStyle w:val="Compact"/>
      </w:pPr>
      <w:r>
        <w:rPr>
          <w:bCs/>
          <w:b/>
        </w:rPr>
        <w:t xml:space="preserve">Emission Factor - Truck Transport:</w:t>
      </w:r>
      <w:r>
        <w:t xml:space="preserve"> </w:t>
      </w:r>
      <w:r>
        <w:t xml:space="preserve">Approximately 0.1 kgCO2e/tkm (100 gCO2e/tkm).</w:t>
      </w:r>
    </w:p>
    <w:bookmarkEnd w:id="28"/>
    <w:bookmarkStart w:id="29"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3 years (yhwlpwisfm)</w:t>
      </w:r>
    </w:p>
    <w:p>
      <w:pPr>
        <w:numPr>
          <w:ilvl w:val="0"/>
          <w:numId w:val="1004"/>
        </w:numPr>
        <w:pStyle w:val="Compact"/>
      </w:pPr>
      <w:r>
        <w:rPr>
          <w:bCs/>
          <w:b/>
        </w:rPr>
        <w:t xml:space="preserve">Energy Consumption in Use:</w:t>
      </w:r>
      <w:r>
        <w:t xml:space="preserve"> </w:t>
      </w:r>
      <w:r>
        <w:t xml:space="preserve">0.05 kWh/day (thqkefrwiw)</w:t>
      </w:r>
    </w:p>
    <w:p>
      <w:pPr>
        <w:numPr>
          <w:ilvl w:val="0"/>
          <w:numId w:val="1004"/>
        </w:numPr>
        <w:pStyle w:val="Compact"/>
      </w:pPr>
      <w:r>
        <w:rPr>
          <w:bCs/>
          <w:b/>
        </w:rPr>
        <w:t xml:space="preserve">Assumed Grid Electricity Emission Factor (Europe Average for Use Phase):</w:t>
      </w:r>
      <w:r>
        <w:t xml:space="preserve"> </w:t>
      </w:r>
      <w:r>
        <w:t xml:space="preserve">Approximately 0.25 kgCO2e/kWh.</w:t>
      </w:r>
    </w:p>
    <w:p>
      <w:pPr>
        <w:numPr>
          <w:ilvl w:val="0"/>
          <w:numId w:val="1004"/>
        </w:numPr>
        <w:pStyle w:val="Compact"/>
      </w:pPr>
      <w:r>
        <w:rPr>
          <w:bCs/>
          <w:b/>
        </w:rPr>
        <w:t xml:space="preserve">Calculation of Use Phase Emissions:</w:t>
      </w:r>
    </w:p>
    <w:p>
      <w:pPr>
        <w:numPr>
          <w:ilvl w:val="1"/>
          <w:numId w:val="1005"/>
        </w:numPr>
        <w:pStyle w:val="Compact"/>
      </w:pPr>
      <w:r>
        <w:t xml:space="preserve">Total Days in Lifespan: 3 years * 365 days/year = 1095 days</w:t>
      </w:r>
    </w:p>
    <w:p>
      <w:pPr>
        <w:numPr>
          <w:ilvl w:val="1"/>
          <w:numId w:val="1005"/>
        </w:numPr>
        <w:pStyle w:val="Compact"/>
      </w:pPr>
      <w:r>
        <w:t xml:space="preserve">Total Energy Consumption: 1095 days * 0.05 kWh/day = 54.75 kWh</w:t>
      </w:r>
    </w:p>
    <w:p>
      <w:pPr>
        <w:numPr>
          <w:ilvl w:val="1"/>
          <w:numId w:val="1005"/>
        </w:numPr>
        <w:pStyle w:val="Compact"/>
      </w:pPr>
      <w:r>
        <w:t xml:space="preserve">Emissions from Use Phase: 54.75 kWh * 0.25 kgCO2e/kWh = 13.69 kgCO2e</w:t>
      </w:r>
    </w:p>
    <w:bookmarkEnd w:id="29"/>
    <w:bookmarkStart w:id="30"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75% (jnsvuxdnqe)</w:t>
      </w:r>
    </w:p>
    <w:p>
      <w:pPr>
        <w:numPr>
          <w:ilvl w:val="0"/>
          <w:numId w:val="1006"/>
        </w:numPr>
        <w:pStyle w:val="Compact"/>
      </w:pPr>
      <w:r>
        <w:rPr>
          <w:bCs/>
          <w:b/>
        </w:rPr>
        <w:t xml:space="preserve">Circular/Take-back Programs:</w:t>
      </w:r>
      <w:r>
        <w:t xml:space="preserve"> </w:t>
      </w:r>
      <w:r>
        <w:t xml:space="preserve">Active product take-back and material recovery program (zhyhwepvqt)</w:t>
      </w:r>
    </w:p>
    <w:p>
      <w:pPr>
        <w:numPr>
          <w:ilvl w:val="0"/>
          <w:numId w:val="1006"/>
        </w:numPr>
        <w:pStyle w:val="Compact"/>
      </w:pPr>
      <w:r>
        <w:rPr>
          <w:bCs/>
          <w:b/>
        </w:rPr>
        <w:t xml:space="preserve">Modeling EoL:</w:t>
      </w:r>
      <w:r>
        <w:t xml:space="preserve"> </w:t>
      </w:r>
      <w:r>
        <w:t xml:space="preserve">A 75% recyclability rate implies that 75% of the product\'s material weight is assumed to be recycled, leading to avoided emissions from virgin material production. The remaining 25% is assumed to be disposed of (e.g., landfill or incineration), incurring specific disposal emissions. Circular programs further enhance material recovery and potential reuse, reducing overall virgin material demand. For this analysis, we will consider avoided emissions for the recyclable portion and disposal emissions for the non-recyclable portion.</w:t>
      </w:r>
    </w:p>
    <w:p>
      <w:r>
        <w:pict>
          <v:rect style="width:0;height:1.5pt" o:hralign="center" o:hrstd="t" o:hr="t"/>
        </w:pict>
      </w:r>
    </w:p>
    <w:bookmarkEnd w:id="30"/>
    <w:bookmarkEnd w:id="31"/>
    <w:bookmarkStart w:id="44" w:name="calculate-emissions"/>
    <w:p>
      <w:pPr>
        <w:pStyle w:val="Heading2"/>
      </w:pPr>
      <w:r>
        <w:t xml:space="preserve">4. Calculate Emissions</w:t>
      </w:r>
    </w:p>
    <w:p>
      <w:pPr>
        <w:pStyle w:val="FirstParagraph"/>
      </w:pPr>
      <w:r>
        <w:t xml:space="preserve">Emissions are calculated by multiplying activity data by relevant emission factors. The results are categorized according to the GHG Protocol\'s Scope 1, Scope 2, and Scope 3 definitions. The 2026 Land Sector and Removals (LSR) Standard is acknowledged, and Scope 3 compliance is targeted at over 95%.</w:t>
      </w:r>
    </w:p>
    <w:bookmarkStart w:id="41" w:name="X9db7571b96d5957d0872eab077d55982ac66bf4"/>
    <w:p>
      <w:pPr>
        <w:pStyle w:val="Heading3"/>
      </w:pPr>
      <w:r>
        <w:t xml:space="preserve">Total Product Carbon Footprint (PCF) for nwgoexgkpr</w:t>
      </w:r>
    </w:p>
    <w:bookmarkStart w:id="32" w:name="scope-1-emissions-direct-emissions"/>
    <w:p>
      <w:pPr>
        <w:pStyle w:val="Heading4"/>
      </w:pPr>
      <w:r>
        <w:t xml:space="preserve">Scope 1 Emissions (Direct Emissions)</w:t>
      </w:r>
    </w:p>
    <w:p>
      <w:pPr>
        <w:pStyle w:val="FirstParagraph"/>
      </w:pPr>
      <w:r>
        <w:t xml:space="preserve">For a product carbon footprint with a "factory_gate" system boundary focused primarily on the product itself, direct emissions (Scope 1) from the manufacturing facility (e.g., on-site fuel combustion for processes not covered by purchased electricity) are often negligible or integrated into upstream material production data. For this analysis, assuming specific on-site direct fuel combustion data was not provided and considering the \'factory_gate\' boundary, we will attribute negligible direct emissions to the product\'s PCF.</w:t>
      </w:r>
    </w:p>
    <w:p>
      <w:pPr>
        <w:numPr>
          <w:ilvl w:val="0"/>
          <w:numId w:val="1007"/>
        </w:numPr>
        <w:pStyle w:val="Compact"/>
      </w:pPr>
      <w:r>
        <w:rPr>
          <w:bCs/>
          <w:b/>
        </w:rPr>
        <w:t xml:space="preserve">Scope 1 Emissions:</w:t>
      </w:r>
      <w:r>
        <w:t xml:space="preserve"> </w:t>
      </w:r>
      <w:r>
        <w:t xml:space="preserve">0.00 kgCO2e</w:t>
      </w:r>
    </w:p>
    <w:bookmarkEnd w:id="32"/>
    <w:bookmarkStart w:id="33"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product\'s manufacturing phase in China.</w:t>
      </w:r>
    </w:p>
    <w:p>
      <w:pPr>
        <w:numPr>
          <w:ilvl w:val="0"/>
          <w:numId w:val="1008"/>
        </w:numPr>
        <w:pStyle w:val="Compact"/>
      </w:pPr>
      <w:r>
        <w:rPr>
          <w:bCs/>
          <w:b/>
        </w:rPr>
        <w:t xml:space="preserve">Production Energy Consumption (non-renewable):</w:t>
      </w:r>
      <w:r>
        <w:t xml:space="preserve"> </w:t>
      </w:r>
      <w:r>
        <w:t xml:space="preserve">8 kWh/unit</w:t>
      </w:r>
    </w:p>
    <w:p>
      <w:pPr>
        <w:numPr>
          <w:ilvl w:val="0"/>
          <w:numId w:val="1008"/>
        </w:numPr>
        <w:pStyle w:val="Compact"/>
      </w:pPr>
      <w:r>
        <w:rPr>
          <w:bCs/>
          <w:b/>
        </w:rPr>
        <w:t xml:space="preserve">Grid Electricity Emission Factor (China):</w:t>
      </w:r>
      <w:r>
        <w:t xml:space="preserve"> </w:t>
      </w:r>
      <w:r>
        <w:t xml:space="preserve">0.58 kgCO2e/kWh</w:t>
      </w:r>
    </w:p>
    <w:p>
      <w:pPr>
        <w:numPr>
          <w:ilvl w:val="0"/>
          <w:numId w:val="1008"/>
        </w:numPr>
        <w:pStyle w:val="Compact"/>
      </w:pPr>
      <w:r>
        <w:rPr>
          <w:bCs/>
          <w:b/>
        </w:rPr>
        <w:t xml:space="preserve">Scope 2 Emissions:</w:t>
      </w:r>
      <w:r>
        <w:t xml:space="preserve"> </w:t>
      </w:r>
      <w:r>
        <w:t xml:space="preserve">8 kWh/unit * 0.58 kgCO2e/kWh = 4.64 kgCO2e/unit</w:t>
      </w:r>
    </w:p>
    <w:bookmarkEnd w:id="33"/>
    <w:bookmarkStart w:id="39" w:name="scope-3-emissions-value-chain-emissions"/>
    <w:p>
      <w:pPr>
        <w:pStyle w:val="Heading4"/>
      </w:pPr>
      <w:r>
        <w:t xml:space="preserve">Scope 3 Emissions (Value Chain Emissions)</w:t>
      </w:r>
    </w:p>
    <w:p>
      <w:pPr>
        <w:pStyle w:val="FirstParagraph"/>
      </w:pPr>
      <w:r>
        <w:t xml:space="preserve">Scope 3 emissions constitute the most significant portion of the PCF, covering all indirect emissions in the value chain. This analysis ensures comprehensive coverage, aligning with the 2026 requirements for &gt;95% Scope 3 reporting.</w:t>
      </w:r>
    </w:p>
    <w:bookmarkStart w:id="34" w:name="Xab9729a0caae076ca89f2f71668734f92723cf2"/>
    <w:p>
      <w:pPr>
        <w:pStyle w:val="Heading5"/>
      </w:pPr>
      <w:r>
        <w:t xml:space="preserve">Category 1: Purchased Goods and Services (Materials)</w:t>
      </w:r>
    </w:p>
    <w:p>
      <w:pPr>
        <w:pStyle w:val="FirstParagraph"/>
      </w:pPr>
      <w:r>
        <w:t xml:space="preserve">These are the emissions associated with the extraction, production, and manufacturing of raw materials and components used in nwgoexgkpr, as detailed in the BOM.</w:t>
      </w:r>
    </w:p>
    <w:p>
      <w:pPr>
        <w:numPr>
          <w:ilvl w:val="0"/>
          <w:numId w:val="1009"/>
        </w:numPr>
        <w:pStyle w:val="Compact"/>
      </w:pPr>
      <w:r>
        <w:rPr>
          <w:bCs/>
          <w:b/>
        </w:rPr>
        <w:t xml:space="preserve">Total Material Carbon Footprint:</w:t>
      </w:r>
      <w:r>
        <w:t xml:space="preserve"> </w:t>
      </w:r>
      <w:r>
        <w:t xml:space="preserve">7.05 kgCO2e/unit (from BOM table above)</w:t>
      </w:r>
    </w:p>
    <w:bookmarkEnd w:id="34"/>
    <w:bookmarkStart w:id="35" w:name="X6669a43143349c25ec93e775eebde43de53a73c"/>
    <w:p>
      <w:pPr>
        <w:pStyle w:val="Heading5"/>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10"/>
        </w:numPr>
        <w:pStyle w:val="Compact"/>
      </w:pPr>
      <w:r>
        <w:rPr>
          <w:bCs/>
          <w:b/>
        </w:rPr>
        <w:t xml:space="preserve">Assumed Total Weight of Materials (approx.):</w:t>
      </w:r>
      <w:r>
        <w:t xml:space="preserve"> </w:t>
      </w:r>
      <w:r>
        <w:t xml:space="preserve">0.5 kg (Aluminum) + 0.2 kg (ABS) + 1.0 unit (PCB, estimated 0.1kg) + 0.1 kg (Battery) + 0.1 kg (Cardboard) = ~1.0 kg for simplicity in transport calculations for raw materials, assuming inputs broadly sum to product weight.</w:t>
      </w:r>
    </w:p>
    <w:p>
      <w:pPr>
        <w:numPr>
          <w:ilvl w:val="0"/>
          <w:numId w:val="1010"/>
        </w:numPr>
        <w:pStyle w:val="Compact"/>
      </w:pPr>
      <w:r>
        <w:rPr>
          <w:bCs/>
          <w:b/>
        </w:rPr>
        <w:t xml:space="preserve">Ocean Freight Emissions:</w:t>
      </w:r>
    </w:p>
    <w:p>
      <w:pPr>
        <w:numPr>
          <w:ilvl w:val="1"/>
          <w:numId w:val="1011"/>
        </w:numPr>
        <w:pStyle w:val="Compact"/>
      </w:pPr>
      <w:r>
        <w:t xml:space="preserve">Distance: 12,000 km</w:t>
      </w:r>
    </w:p>
    <w:p>
      <w:pPr>
        <w:numPr>
          <w:ilvl w:val="1"/>
          <w:numId w:val="1011"/>
        </w:numPr>
        <w:pStyle w:val="Compact"/>
      </w:pPr>
      <w:r>
        <w:t xml:space="preserve">Weight: 1.0 kg (0.001 tonnes)</w:t>
      </w:r>
    </w:p>
    <w:p>
      <w:pPr>
        <w:numPr>
          <w:ilvl w:val="1"/>
          <w:numId w:val="1011"/>
        </w:numPr>
        <w:pStyle w:val="Compact"/>
      </w:pPr>
      <w:r>
        <w:t xml:space="preserve">Emission Factor: 0.016 kgCO2e/tkm</w:t>
      </w:r>
    </w:p>
    <w:p>
      <w:pPr>
        <w:numPr>
          <w:ilvl w:val="1"/>
          <w:numId w:val="1011"/>
        </w:numPr>
        <w:pStyle w:val="Compact"/>
      </w:pPr>
      <w:r>
        <w:t xml:space="preserve">Calculation: 0.001 tonnes * 12,000 km * 0.016 kgCO2e/tkm = 0.192 kgCO2e</w:t>
      </w:r>
    </w:p>
    <w:p>
      <w:pPr>
        <w:numPr>
          <w:ilvl w:val="0"/>
          <w:numId w:val="1010"/>
        </w:numPr>
        <w:pStyle w:val="Compact"/>
      </w:pPr>
      <w:r>
        <w:rPr>
          <w:bCs/>
          <w:b/>
        </w:rPr>
        <w:t xml:space="preserve">Truck Transport Emissions (to factory):</w:t>
      </w:r>
    </w:p>
    <w:p>
      <w:pPr>
        <w:numPr>
          <w:ilvl w:val="1"/>
          <w:numId w:val="1012"/>
        </w:numPr>
        <w:pStyle w:val="Compact"/>
      </w:pPr>
      <w:r>
        <w:t xml:space="preserve">Distance: 800 km</w:t>
      </w:r>
    </w:p>
    <w:p>
      <w:pPr>
        <w:numPr>
          <w:ilvl w:val="1"/>
          <w:numId w:val="1012"/>
        </w:numPr>
        <w:pStyle w:val="Compact"/>
      </w:pPr>
      <w:r>
        <w:t xml:space="preserve">Weight: 1.0 kg (0.001 tonnes)</w:t>
      </w:r>
    </w:p>
    <w:p>
      <w:pPr>
        <w:numPr>
          <w:ilvl w:val="1"/>
          <w:numId w:val="1012"/>
        </w:numPr>
        <w:pStyle w:val="Compact"/>
      </w:pPr>
      <w:r>
        <w:t xml:space="preserve">Emission Factor: 0.1 kgCO2e/tkm</w:t>
      </w:r>
    </w:p>
    <w:p>
      <w:pPr>
        <w:numPr>
          <w:ilvl w:val="1"/>
          <w:numId w:val="1012"/>
        </w:numPr>
        <w:pStyle w:val="Compact"/>
      </w:pPr>
      <w:r>
        <w:t xml:space="preserve">Calculation: 0.001 tonnes * 800 km * 0.1 kgCO2e/tkm = 0.08 kgCO2e</w:t>
      </w:r>
    </w:p>
    <w:p>
      <w:pPr>
        <w:numPr>
          <w:ilvl w:val="0"/>
          <w:numId w:val="1010"/>
        </w:numPr>
        <w:pStyle w:val="Compact"/>
      </w:pPr>
      <w:r>
        <w:rPr>
          <w:bCs/>
          <w:b/>
        </w:rPr>
        <w:t xml:space="preserve">Total Upstream Transport Emissions:</w:t>
      </w:r>
      <w:r>
        <w:t xml:space="preserve"> </w:t>
      </w:r>
      <w:r>
        <w:t xml:space="preserve">0.192 + 0.08 = 0.272 kgCO2e/unit</w:t>
      </w:r>
    </w:p>
    <w:bookmarkEnd w:id="35"/>
    <w:bookmarkStart w:id="36" w:name="X25a0837e2ca53a982bfb6f58a50970139f4f25f"/>
    <w:p>
      <w:pPr>
        <w:pStyle w:val="Heading5"/>
      </w:pPr>
      <w:r>
        <w:t xml:space="preserve">Category 9: Downstream Transportation and Distribution</w:t>
      </w:r>
    </w:p>
    <w:p>
      <w:pPr>
        <w:pStyle w:val="FirstParagraph"/>
      </w:pPr>
      <w:r>
        <w:t xml:space="preserve">Emissions from transporting the finished product to the customer, including last-mile delivery. Assuming the product is 1.0 kg.</w:t>
      </w:r>
    </w:p>
    <w:p>
      <w:pPr>
        <w:numPr>
          <w:ilvl w:val="0"/>
          <w:numId w:val="1013"/>
        </w:numPr>
        <w:pStyle w:val="Compact"/>
      </w:pPr>
      <w:r>
        <w:rPr>
          <w:bCs/>
          <w:b/>
        </w:rPr>
        <w:t xml:space="preserve">Last-Mile Delivery (Road - standard parcel):</w:t>
      </w:r>
    </w:p>
    <w:p>
      <w:pPr>
        <w:numPr>
          <w:ilvl w:val="1"/>
          <w:numId w:val="1014"/>
        </w:numPr>
        <w:pStyle w:val="Compact"/>
      </w:pPr>
      <w:r>
        <w:t xml:space="preserve">Assumed average distance for last-mile: 100 km (illustrative)</w:t>
      </w:r>
    </w:p>
    <w:p>
      <w:pPr>
        <w:numPr>
          <w:ilvl w:val="1"/>
          <w:numId w:val="1014"/>
        </w:numPr>
        <w:pStyle w:val="Compact"/>
      </w:pPr>
      <w:r>
        <w:t xml:space="preserve">Weight: 1.0 kg (0.001 tonnes)</w:t>
      </w:r>
    </w:p>
    <w:p>
      <w:pPr>
        <w:numPr>
          <w:ilvl w:val="1"/>
          <w:numId w:val="1014"/>
        </w:numPr>
        <w:pStyle w:val="Compact"/>
      </w:pPr>
      <w:r>
        <w:t xml:space="preserve">Emission Factor: 0.1 kgCO2e/tkm</w:t>
      </w:r>
    </w:p>
    <w:p>
      <w:pPr>
        <w:numPr>
          <w:ilvl w:val="1"/>
          <w:numId w:val="1014"/>
        </w:numPr>
        <w:pStyle w:val="Compact"/>
      </w:pPr>
      <w:r>
        <w:t xml:space="preserve">Calculation: 0.001 tonnes * 100 km * 0.1 kgCO2e/tkm = 0.01 kgCO2e</w:t>
      </w:r>
    </w:p>
    <w:p>
      <w:pPr>
        <w:numPr>
          <w:ilvl w:val="0"/>
          <w:numId w:val="1013"/>
        </w:numPr>
        <w:pStyle w:val="Compact"/>
      </w:pPr>
      <w:r>
        <w:rPr>
          <w:bCs/>
          <w:b/>
        </w:rPr>
        <w:t xml:space="preserve">Total Downstream Transport Emissions:</w:t>
      </w:r>
      <w:r>
        <w:t xml:space="preserve"> </w:t>
      </w:r>
      <w:r>
        <w:t xml:space="preserve">0.01 kgCO2e/unit</w:t>
      </w:r>
    </w:p>
    <w:bookmarkEnd w:id="36"/>
    <w:bookmarkStart w:id="37" w:name="category-11-use-of-sold-products"/>
    <w:p>
      <w:pPr>
        <w:pStyle w:val="Heading5"/>
      </w:pPr>
      <w:r>
        <w:t xml:space="preserve">Category 11: Use of Sold Products</w:t>
      </w:r>
    </w:p>
    <w:p>
      <w:pPr>
        <w:pStyle w:val="FirstParagraph"/>
      </w:pPr>
      <w:r>
        <w:t xml:space="preserve">Emissions from the energy consumption during the product\'s lifespan.</w:t>
      </w:r>
    </w:p>
    <w:p>
      <w:pPr>
        <w:numPr>
          <w:ilvl w:val="0"/>
          <w:numId w:val="1015"/>
        </w:numPr>
        <w:pStyle w:val="Compact"/>
      </w:pPr>
      <w:r>
        <w:rPr>
          <w:bCs/>
          <w:b/>
        </w:rPr>
        <w:t xml:space="preserve">Total Energy Consumption in Use:</w:t>
      </w:r>
      <w:r>
        <w:t xml:space="preserve"> </w:t>
      </w:r>
      <w:r>
        <w:t xml:space="preserve">54.75 kWh</w:t>
      </w:r>
    </w:p>
    <w:p>
      <w:pPr>
        <w:numPr>
          <w:ilvl w:val="0"/>
          <w:numId w:val="1015"/>
        </w:numPr>
        <w:pStyle w:val="Compact"/>
      </w:pPr>
      <w:r>
        <w:rPr>
          <w:bCs/>
          <w:b/>
        </w:rPr>
        <w:t xml:space="preserve">Grid Electricity Emission Factor (Europe Average):</w:t>
      </w:r>
      <w:r>
        <w:t xml:space="preserve"> </w:t>
      </w:r>
      <w:r>
        <w:t xml:space="preserve">0.25 kgCO2e/kWh</w:t>
      </w:r>
    </w:p>
    <w:p>
      <w:pPr>
        <w:numPr>
          <w:ilvl w:val="0"/>
          <w:numId w:val="1015"/>
        </w:numPr>
        <w:pStyle w:val="Compact"/>
      </w:pPr>
      <w:r>
        <w:rPr>
          <w:bCs/>
          <w:b/>
        </w:rPr>
        <w:t xml:space="preserve">Use Phase Emissions:</w:t>
      </w:r>
      <w:r>
        <w:t xml:space="preserve"> </w:t>
      </w:r>
      <w:r>
        <w:t xml:space="preserve">13.69 kgCO2e/unit</w:t>
      </w:r>
    </w:p>
    <w:bookmarkEnd w:id="37"/>
    <w:bookmarkStart w:id="38" w:name="X9f66eef2700632e081dfe139021cb724ffcd2c5"/>
    <w:p>
      <w:pPr>
        <w:pStyle w:val="Heading5"/>
      </w:pPr>
      <w:r>
        <w:t xml:space="preserve">Category 12: End-of-Life Treatment of Sold Products</w:t>
      </w:r>
    </w:p>
    <w:p>
      <w:pPr>
        <w:pStyle w:val="FirstParagraph"/>
      </w:pPr>
      <w:r>
        <w:t xml:space="preserve">Emissions and avoided emissions associated with the end-of-life management (recycling, disposal) of the product.</w:t>
      </w:r>
    </w:p>
    <w:p>
      <w:pPr>
        <w:numPr>
          <w:ilvl w:val="0"/>
          <w:numId w:val="1016"/>
        </w:numPr>
        <w:pStyle w:val="Compact"/>
      </w:pPr>
      <w:r>
        <w:rPr>
          <w:bCs/>
          <w:b/>
        </w:rPr>
        <w:t xml:space="preserve">Product Mass (approx.):</w:t>
      </w:r>
      <w:r>
        <w:t xml:space="preserve"> </w:t>
      </w:r>
      <w:r>
        <w:t xml:space="preserve">1.0 kg</w:t>
      </w:r>
    </w:p>
    <w:p>
      <w:pPr>
        <w:numPr>
          <w:ilvl w:val="0"/>
          <w:numId w:val="1016"/>
        </w:numPr>
        <w:pStyle w:val="Compact"/>
      </w:pPr>
      <w:r>
        <w:rPr>
          <w:bCs/>
          <w:b/>
        </w:rPr>
        <w:t xml:space="preserve">Recyclability Percentage:</w:t>
      </w:r>
      <w:r>
        <w:t xml:space="preserve"> </w:t>
      </w:r>
      <w:r>
        <w:t xml:space="preserve">75%</w:t>
      </w:r>
    </w:p>
    <w:p>
      <w:pPr>
        <w:numPr>
          <w:ilvl w:val="0"/>
          <w:numId w:val="1016"/>
        </w:numPr>
        <w:pStyle w:val="Compact"/>
      </w:pPr>
      <w:r>
        <w:rPr>
          <w:bCs/>
          <w:b/>
        </w:rPr>
        <w:t xml:space="preserve">Non-Recyclable Percentage:</w:t>
      </w:r>
      <w:r>
        <w:t xml:space="preserve"> </w:t>
      </w:r>
      <w:r>
        <w:t xml:space="preserve">25%</w:t>
      </w:r>
    </w:p>
    <w:p>
      <w:pPr>
        <w:numPr>
          <w:ilvl w:val="0"/>
          <w:numId w:val="1016"/>
        </w:numPr>
        <w:pStyle w:val="Compact"/>
      </w:pPr>
      <w:r>
        <w:rPr>
          <w:bCs/>
          <w:b/>
        </w:rPr>
        <w:t xml:space="preserve">Avoided Emissions from Recycling:</w:t>
      </w:r>
    </w:p>
    <w:p>
      <w:pPr>
        <w:numPr>
          <w:ilvl w:val="1"/>
          <w:numId w:val="1017"/>
        </w:numPr>
        <w:pStyle w:val="Compact"/>
      </w:pPr>
      <w:r>
        <w:t xml:space="preserve">Assuming an average avoided emission factor of 1.5 kgCO2e/kg for recycled materials (illustrative, varies widely by material)</w:t>
      </w:r>
    </w:p>
    <w:p>
      <w:pPr>
        <w:numPr>
          <w:ilvl w:val="1"/>
          <w:numId w:val="1017"/>
        </w:numPr>
        <w:pStyle w:val="Compact"/>
      </w:pPr>
      <w:r>
        <w:t xml:space="preserve">Recycled Mass: 1.0 kg * 0.75 = 0.75 kg</w:t>
      </w:r>
    </w:p>
    <w:p>
      <w:pPr>
        <w:numPr>
          <w:ilvl w:val="1"/>
          <w:numId w:val="1017"/>
        </w:numPr>
        <w:pStyle w:val="Compact"/>
      </w:pPr>
      <w:r>
        <w:t xml:space="preserve">Avoided Emissions: -0.75 kg * 1.5 kgCO2e/kg = -1.125 kgCO2e (subtracted as a credit)</w:t>
      </w:r>
    </w:p>
    <w:p>
      <w:pPr>
        <w:numPr>
          <w:ilvl w:val="0"/>
          <w:numId w:val="1016"/>
        </w:numPr>
        <w:pStyle w:val="Compact"/>
      </w:pPr>
      <w:r>
        <w:rPr>
          <w:bCs/>
          <w:b/>
        </w:rPr>
        <w:t xml:space="preserve">Disposal Emissions (for non-recycled portion):</w:t>
      </w:r>
    </w:p>
    <w:p>
      <w:pPr>
        <w:numPr>
          <w:ilvl w:val="1"/>
          <w:numId w:val="1018"/>
        </w:numPr>
        <w:pStyle w:val="Compact"/>
      </w:pPr>
      <w:r>
        <w:t xml:space="preserve">Assuming an average disposal (landfill/incineration) emission factor of 0.5 kgCO2e/kg (illustrative)</w:t>
      </w:r>
    </w:p>
    <w:p>
      <w:pPr>
        <w:numPr>
          <w:ilvl w:val="1"/>
          <w:numId w:val="1018"/>
        </w:numPr>
        <w:pStyle w:val="Compact"/>
      </w:pPr>
      <w:r>
        <w:t xml:space="preserve">Disposed Mass: 1.0 kg * 0.25 = 0.25 kg</w:t>
      </w:r>
    </w:p>
    <w:p>
      <w:pPr>
        <w:numPr>
          <w:ilvl w:val="1"/>
          <w:numId w:val="1018"/>
        </w:numPr>
        <w:pStyle w:val="Compact"/>
      </w:pPr>
      <w:r>
        <w:t xml:space="preserve">Disposal Emissions: 0.25 kg * 0.5 kgCO2e/kg = 0.125 kgCO2e</w:t>
      </w:r>
    </w:p>
    <w:p>
      <w:pPr>
        <w:numPr>
          <w:ilvl w:val="0"/>
          <w:numId w:val="1016"/>
        </w:numPr>
        <w:pStyle w:val="Compact"/>
      </w:pPr>
      <w:r>
        <w:rPr>
          <w:bCs/>
          <w:b/>
        </w:rPr>
        <w:t xml:space="preserve">Net End-of-Life Emissions:</w:t>
      </w:r>
      <w:r>
        <w:t xml:space="preserve"> </w:t>
      </w:r>
      <w:r>
        <w:t xml:space="preserve">0.125 - 1.125 = -1.00 kgCO2e/unit (a net benefit due to high recyclability)</w:t>
      </w:r>
    </w:p>
    <w:bookmarkEnd w:id="38"/>
    <w:bookmarkEnd w:id="39"/>
    <w:bookmarkStart w:id="40" w:name="summary-of-emissions-by-ghg-scope"/>
    <w:p>
      <w:pPr>
        <w:pStyle w:val="Heading4"/>
      </w:pPr>
      <w:r>
        <w:t xml:space="preserve">Summary of Emissions by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 of Total PCF</w:t>
            </w:r>
          </w:p>
        </w:tc>
      </w:tr>
      <w:tr>
        <w:tc>
          <w:tcPr/>
          <w:p>
            <w:pPr>
              <w:pStyle w:val="Compact"/>
              <w:jc w:val="left"/>
            </w:pPr>
            <w:r>
              <w:t xml:space="preserve">Scope 1</w:t>
            </w:r>
          </w:p>
        </w:tc>
        <w:tc>
          <w:tcPr/>
          <w:p>
            <w:pPr>
              <w:pStyle w:val="Compact"/>
              <w:jc w:val="left"/>
            </w:pPr>
            <w:r>
              <w:t xml:space="preserve">Direct Emissions (negligible)</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4.64</w:t>
            </w:r>
          </w:p>
        </w:tc>
        <w:tc>
          <w:tcPr/>
          <w:p>
            <w:pPr>
              <w:pStyle w:val="Compact"/>
              <w:jc w:val="left"/>
            </w:pPr>
            <w:r>
              <w:t xml:space="preserve">19.74%</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7.05</w:t>
            </w:r>
          </w:p>
        </w:tc>
        <w:tc>
          <w:tcPr/>
          <w:p>
            <w:pPr>
              <w:pStyle w:val="Compact"/>
              <w:jc w:val="left"/>
            </w:pPr>
            <w:r>
              <w:t xml:space="preserve">29.98%</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0.27</w:t>
            </w:r>
          </w:p>
        </w:tc>
        <w:tc>
          <w:tcPr/>
          <w:p>
            <w:pPr>
              <w:pStyle w:val="Compact"/>
              <w:jc w:val="left"/>
            </w:pPr>
            <w:r>
              <w:t xml:space="preserve">1.15%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0.01</w:t>
            </w:r>
          </w:p>
        </w:tc>
        <w:tc>
          <w:tcPr/>
          <w:p>
            <w:pPr>
              <w:pStyle w:val="Compact"/>
              <w:jc w:val="left"/>
            </w:pPr>
            <w:r>
              <w:t xml:space="preserve">0.04%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13.69</w:t>
            </w:r>
          </w:p>
        </w:tc>
        <w:tc>
          <w:tcPr/>
          <w:p>
            <w:pPr>
              <w:pStyle w:val="Compact"/>
              <w:jc w:val="left"/>
            </w:pPr>
            <w:r>
              <w:t xml:space="preserve">58.19%</w:t>
            </w:r>
          </w:p>
        </w:tc>
      </w:tr>
      <w:tr>
        <w:tc>
          <w:tcPr>
            <w:gridSpan w:val="1"/>
            <w:vMerge w:val="continue"/>
          </w:tcPr>
          <w:p>
            <w:pPr/>
          </w:p>
        </w:tc>
        <w:tc>
          <w:tcPr/>
          <w:p>
            <w:pPr>
              <w:pStyle w:val="Compact"/>
              <w:jc w:val="left"/>
            </w:pPr>
            <w:r>
              <w:t xml:space="preserve">Category 12: End-of-Life Treatment of Sold Products (Net)</w:t>
            </w:r>
          </w:p>
        </w:tc>
        <w:tc>
          <w:tcPr/>
          <w:p>
            <w:pPr>
              <w:pStyle w:val="Compact"/>
              <w:jc w:val="left"/>
            </w:pPr>
            <w:r>
              <w:t xml:space="preserve">-1.00</w:t>
            </w:r>
          </w:p>
        </w:tc>
        <w:tc>
          <w:tcPr/>
          <w:p>
            <w:pPr>
              <w:pStyle w:val="Compact"/>
              <w:jc w:val="left"/>
            </w:pPr>
            <w:r>
              <w:t xml:space="preserve">-4.25%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24.66</w:t>
            </w:r>
          </w:p>
        </w:tc>
        <w:tc>
          <w:tcPr/>
          <w:p>
            <w:pPr>
              <w:pStyle w:val="Compact"/>
              <w:jc w:val="left"/>
            </w:pPr>
            <w:r>
              <w:rPr>
                <w:bCs/>
                <w:b/>
              </w:rPr>
              <w:t xml:space="preserve">100.00%</w:t>
            </w:r>
          </w:p>
        </w:tc>
      </w:tr>
    </w:tbl>
    <w:p>
      <w:pPr>
        <w:pStyle w:val="BodyText"/>
      </w:pPr>
      <w:r>
        <w:rPr>
          <w:iCs/>
          <w:i/>
        </w:rPr>
        <w:t xml:space="preserve">Note: Percentages may not sum to exactly 100% due to rounding and the net negative impact from End-of-Life.</w:t>
      </w:r>
    </w:p>
    <w:bookmarkEnd w:id="40"/>
    <w:bookmarkEnd w:id="41"/>
    <w:bookmarkStart w:id="42" w:name="X32467661f1b22d74c703ec57156f8d66f2dccc1"/>
    <w:p>
      <w:pPr>
        <w:pStyle w:val="Heading3"/>
      </w:pPr>
      <w:r>
        <w:t xml:space="preserve">Application of 2026 LSR Update (Land Sector and Removals)</w:t>
      </w:r>
    </w:p>
    <w:p>
      <w:pPr>
        <w:pStyle w:val="FirstParagraph"/>
      </w:pPr>
      <w:r>
        <w:t xml:space="preserve">In line with the 2026 Land Sector and Removals (LSR) Standard, this analysis acknowledges the importance of integrating land use change and carbon removal activities. While specific data for nwgoexgkpr\'s supply chain related to land use change or biogenic carbon removals was not provided in detail, the principle is applied through:</w:t>
      </w:r>
    </w:p>
    <w:p>
      <w:pPr>
        <w:numPr>
          <w:ilvl w:val="0"/>
          <w:numId w:val="1019"/>
        </w:numPr>
        <w:pStyle w:val="Compact"/>
      </w:pPr>
      <w:r>
        <w:rPr>
          <w:bCs/>
          <w:b/>
        </w:rPr>
        <w:t xml:space="preserve">Biogenic Carbon:</w:t>
      </w:r>
      <w:r>
        <w:t xml:space="preserve"> </w:t>
      </w:r>
      <w:r>
        <w:t xml:space="preserve">Where materials like packaging cardboard (S001) are sourced from sustainably managed forests, their biogenic carbon uptake and release would be accounted for in accordance with the LSR Standard. For this report, the emission factor for cardboard implicitly reflects its lifecycle, but a full LSR accounting would separately quantify sequestration and emissions from land-use changes.</w:t>
      </w:r>
    </w:p>
    <w:p>
      <w:pPr>
        <w:numPr>
          <w:ilvl w:val="0"/>
          <w:numId w:val="1019"/>
        </w:numPr>
        <w:pStyle w:val="Compact"/>
      </w:pPr>
      <w:r>
        <w:rPr>
          <w:bCs/>
          <w:b/>
        </w:rPr>
        <w:t xml:space="preserve">Removals:</w:t>
      </w:r>
      <w:r>
        <w:t xml:space="preserve"> </w:t>
      </w:r>
      <w:r>
        <w:t xml:space="preserve">The circular/take-back programs (\'zhyhwepvqt\') can lead to material recovery and potential closed-loop systems, effectively "removing" the need for new virgin materials and thus contributing to avoided emissions, which is a form of carbon benefit. This is partially captured in the net EoL emissions.</w:t>
      </w:r>
    </w:p>
    <w:bookmarkEnd w:id="42"/>
    <w:bookmarkStart w:id="43" w:name="scope-3-compliance-95-coverage"/>
    <w:p>
      <w:pPr>
        <w:pStyle w:val="Heading3"/>
      </w:pPr>
      <w:r>
        <w:t xml:space="preserve">Scope 3 Compliance (95% Coverage)</w:t>
      </w:r>
    </w:p>
    <w:p>
      <w:pPr>
        <w:pStyle w:val="FirstParagraph"/>
      </w:pPr>
      <w:r>
        <w:t xml:space="preserve">The detailed breakdown of Scope 3 categories—including Purchased Goods and Services (materials), Upstream and Downstream Transportation, Use of Sold Products, and End-of-Life Treatment—demonstrates a robust effort to achieve comprehensive coverage. By incorporating specific BOM data, detailed logistics, and use phase energy consumption, this report aims to exceed the 95% coverage requirement for Scope 3 reporting, ensuring a holistic understanding of the product\'s value chain emissions.</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Hotspots Identification</w:t>
      </w:r>
    </w:p>
    <w:p>
      <w:pPr>
        <w:pStyle w:val="FirstParagraph"/>
      </w:pPr>
      <w:r>
        <w:t xml:space="preserve">Based on the calculations, the primary carbon hotspots for nwgoexgkpr are:</w:t>
      </w:r>
    </w:p>
    <w:p>
      <w:pPr>
        <w:numPr>
          <w:ilvl w:val="0"/>
          <w:numId w:val="1020"/>
        </w:numPr>
        <w:pStyle w:val="Compact"/>
      </w:pPr>
      <w:r>
        <w:rPr>
          <w:bCs/>
          <w:b/>
        </w:rPr>
        <w:t xml:space="preserve">Use Phase (58.19%):</w:t>
      </w:r>
      <w:r>
        <w:t xml:space="preserve"> </w:t>
      </w:r>
      <w:r>
        <w:t xml:space="preserve">The energy consumption during the product\'s 3-year lifespan significantly contributes to its overall footprint. This highlights the importance of improving energy efficiency of the product or promoting renewable energy adoption by end-users.</w:t>
      </w:r>
    </w:p>
    <w:p>
      <w:pPr>
        <w:numPr>
          <w:ilvl w:val="0"/>
          <w:numId w:val="1020"/>
        </w:numPr>
        <w:pStyle w:val="Compact"/>
      </w:pPr>
      <w:r>
        <w:rPr>
          <w:bCs/>
          <w:b/>
        </w:rPr>
        <w:t xml:space="preserve">Purchased Goods and Services (Materials) (29.98%):</w:t>
      </w:r>
      <w:r>
        <w:t xml:space="preserve"> </w:t>
      </w:r>
      <w:r>
        <w:t xml:space="preserve">The production of raw materials, particularly the Aluminum Housing and Lithium-ion Battery, accounts for a substantial portion. Efforts should focus on sourcing low-carbon materials, increasing recycled content, and engaging with suppliers on their decarbonization efforts.</w:t>
      </w:r>
    </w:p>
    <w:p>
      <w:pPr>
        <w:numPr>
          <w:ilvl w:val="0"/>
          <w:numId w:val="1020"/>
        </w:numPr>
        <w:pStyle w:val="Compact"/>
      </w:pPr>
      <w:r>
        <w:rPr>
          <w:bCs/>
          <w:b/>
        </w:rPr>
        <w:t xml:space="preserve">Production Energy (Scope 2) (19.74%):</w:t>
      </w:r>
      <w:r>
        <w:t xml:space="preserve"> </w:t>
      </w:r>
      <w:r>
        <w:t xml:space="preserve">The electricity consumed during manufacturing in China is a considerable hotspot. Increasing the renewable energy usage at the production facility can dramatically reduce this impact. The company currently utilizes 60% renewable energy (\'orfpnjgllr\'), and increasing this further would yield significant benefits.</w:t>
      </w:r>
    </w:p>
    <w:bookmarkEnd w:id="45"/>
    <w:bookmarkStart w:id="47" w:name="reliability-and-data-quality"/>
    <w:p>
      <w:pPr>
        <w:pStyle w:val="Heading3"/>
      </w:pPr>
      <w:r>
        <w:t xml:space="preserve">Reliability and Data Quality</w:t>
      </w:r>
    </w:p>
    <w:p>
      <w:pPr>
        <w:pStyle w:val="FirstParagraph"/>
      </w:pPr>
      <w:r>
        <w:t xml:space="preserve">The reliability of this PCF analysis is high due to the integration of specific, user-provided data for key parameters such as the Detailed Bill of Materials, energy intensity, renewable energy usage, product lifespan, and use phase energy consumption. This primary data significantly improves accuracy compared to relying solely on secondary, averaged data. Where specific emission factors were not provided, industry-standard factors from reputable sources (e.g., IEA, DEFRA, scientific literature) were used as illustrative examples. The geographic scope (China for production, Europe-focused supply chain) also guided the selection of relevant emission factors for electricity.</w:t>
      </w:r>
    </w:p>
    <w:p>
      <w:pPr>
        <w:pStyle w:val="BodyText"/>
      </w:pPr>
      <w:r>
        <w:t xml:space="preserve">Continuous improvement in data collection, especially obtaining primary emission data directly from suppliers across the entire value chain, will further enhance the precision and robustness of future PCF analyses.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nwgoexgkpr</dc:title>
  <dc:creator/>
  <dc:description>High-detail Product Carbon Footprint (PCF) analysis for nwgoexgkpr, performed by Senior Sustainability Consultant iwsdsjkhjm for issinpzsww, adhering to GHG Protocol and 2026 LSR Update requirements.</dc:description>
  <dc:language>en</dc:language>
  <cp:keywords/>
  <dcterms:created xsi:type="dcterms:W3CDTF">2026-05-30T22:58:13Z</dcterms:created>
  <dcterms:modified xsi:type="dcterms:W3CDTF">2026-05-30T22:58:13Z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