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nqlmzunxlh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nqlmzunxlh</w:t>
      </w:r>
    </w:p>
    <w:p>
      <w:pPr>
        <w:pStyle w:val="BodyText"/>
      </w:pPr>
      <w:r>
        <w:rPr>
          <w:bCs/>
          <w:b/>
        </w:rPr>
        <w:t xml:space="preserve">Company:</w:t>
      </w:r>
      <w:r>
        <w:t xml:space="preserve"> </w:t>
      </w:r>
      <w:r>
        <w:t xml:space="preserve">wyylngdhul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drseydopsp</w:t>
      </w:r>
    </w:p>
    <w:p>
      <w:pPr>
        <w:pStyle w:val="BodyText"/>
      </w:pPr>
      <w:r>
        <w:t xml:space="preserve">This report is generated based on available data and industry standards. While every effort has been made to ensure accuracy, the results are subject to the quality and completeness of the input data and the assumptions made regarding generic emission factors where primary data was unavailable.</w:t>
      </w:r>
    </w:p>
    <w:bookmarkEnd w:id="20"/>
    <w:p>
      <w:pPr>
        <w:pStyle w:val="BodyText"/>
      </w:pPr>
      <w:r>
        <w:t xml:space="preserve">Generated Date: June 2,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nqlmzunxlh</w:t>
      </w:r>
      <w:r>
        <w:t xml:space="preserve">, manufactured by</w:t>
      </w:r>
      <w:r>
        <w:t xml:space="preserve"> </w:t>
      </w:r>
      <w:r>
        <w:rPr>
          <w:bCs/>
          <w:b/>
        </w:rPr>
        <w:t xml:space="preserve">wyylngdhul</w:t>
      </w:r>
      <w:r>
        <w:t xml:space="preserve">. The analysis was conducted by</w:t>
      </w:r>
      <w:r>
        <w:t xml:space="preserve"> </w:t>
      </w:r>
      <w:r>
        <w:rPr>
          <w:bCs/>
          <w:b/>
        </w:rPr>
        <w:t xml:space="preserve">drseydopsp</w:t>
      </w:r>
      <w:r>
        <w:t xml:space="preserve">, a Senior Sustainability Consultant specializing in the GHG Protocol. The primary objective was to quantify the greenhouse gas (GHG) emissions associated with the product across its lifecycle, from material acquisition to end-of-life, adhering strictly to the GHG Protocol Product Standard and incorporating recent updates for 2026, including the Land Sector and Removals (LSR) Standard and enhanced Scope 3 compliance requirements. The findings highlight key emission hotspots and provide a foundation for strategic decarbonization efforts.</w:t>
      </w:r>
    </w:p>
    <w:p>
      <w:r>
        <w:pict>
          <v:rect style="width:0;height:1.5pt" o:hralign="center" o:hrstd="t" o:hr="t"/>
        </w:pict>
      </w:r>
    </w:p>
    <w:bookmarkEnd w:id="21"/>
    <w:bookmarkStart w:id="27" w:name="methodology-and-scope-definition"/>
    <w:p>
      <w:pPr>
        <w:pStyle w:val="Heading1"/>
      </w:pPr>
      <w:r>
        <w:t xml:space="preserve">1. Methodology and Scope Definition</w:t>
      </w:r>
    </w:p>
    <w:p>
      <w:pPr>
        <w:pStyle w:val="FirstParagraph"/>
      </w:pPr>
      <w:r>
        <w:t xml:space="preserve">The Product Carbon Footprint (PCF) analysis followed the five-step methodology prescribed by the GHG Protocol Product Life Cycle Accounting and Reporting Standard. This comprehensive approach ensures a systematic and standardized assessment of GHG emissions throughout the product\'s lifecycle.</w:t>
      </w:r>
    </w:p>
    <w:bookmarkStart w:id="22" w:name="ghg-protocol-adherence-and-2026-updates"/>
    <w:p>
      <w:pPr>
        <w:pStyle w:val="Heading2"/>
      </w:pPr>
      <w:r>
        <w:t xml:space="preserve">1.1. GHG Protocol Adherence and 2026 Updates</w:t>
      </w:r>
    </w:p>
    <w:p>
      <w:pPr>
        <w:pStyle w:val="FirstParagraph"/>
      </w:pPr>
      <w:r>
        <w:t xml:space="preserve">The assessment strictly adheres to the Greenhouse Gas (GHG) Protocol, categorizing emissions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Compact"/>
      </w:pPr>
      <w:r>
        <w:rPr>
          <w:bCs/>
          <w:b/>
        </w:rPr>
        <w:t xml:space="preserve">2026 LSR Update:</w:t>
      </w:r>
      <w:r>
        <w:t xml:space="preserve"> </w:t>
      </w:r>
      <w:r>
        <w:t xml:space="preserve">The Land Sector and Removals (LSR) Standard, released on January 30, 2026, and effective January 1, 2027, has been applied to account for land use and carbon removals. This standard provides requirements for quantifying, reporting, and tracking land emissions, CO2 removals, and other metrics, particularly relevant for entities with significant land sector activities or those choosing to report CO2 removals.</w:t>
      </w:r>
    </w:p>
    <w:p>
      <w:pPr>
        <w:numPr>
          <w:ilvl w:val="0"/>
          <w:numId w:val="1001"/>
        </w:numPr>
        <w:pStyle w:val="Compact"/>
      </w:pPr>
      <w:r>
        <w:rPr>
          <w:bCs/>
          <w:b/>
        </w:rPr>
        <w:t xml:space="preserve">Scope 3 Compliance:</w:t>
      </w:r>
      <w:r>
        <w:t xml:space="preserve"> </w:t>
      </w:r>
      <w:r>
        <w:t xml:space="preserve">As per the 2026 proposed revisions to the Scope 3 Standard, a minimum of 95% coverage for Scope 3 emissions is targeted to ensure comprehensive reporting. This update emphasizes enhanced data transparency, disaggregation of data by type, and stricter expectations for completeness, moving away from reliance on estimates towards primary data.</w:t>
      </w:r>
    </w:p>
    <w:bookmarkEnd w:id="22"/>
    <w:bookmarkStart w:id="23" w:name="functional-unit"/>
    <w:p>
      <w:pPr>
        <w:pStyle w:val="Heading2"/>
      </w:pPr>
      <w:r>
        <w:t xml:space="preserve">1.2. Functional Unit</w:t>
      </w:r>
    </w:p>
    <w:p>
      <w:pPr>
        <w:pStyle w:val="FirstParagraph"/>
      </w:pPr>
      <w:r>
        <w:t xml:space="preserve">The functional unit for this PCF analysis is defined as:</w:t>
      </w:r>
    </w:p>
    <w:p>
      <w:pPr>
        <w:numPr>
          <w:ilvl w:val="0"/>
          <w:numId w:val="1002"/>
        </w:numPr>
        <w:pStyle w:val="Compact"/>
      </w:pPr>
      <w:r>
        <w:rPr>
          <w:bCs/>
          <w:b/>
        </w:rPr>
        <w:t xml:space="preserve">1.0 unit of nqlmzunxlh</w:t>
      </w:r>
    </w:p>
    <w:bookmarkEnd w:id="23"/>
    <w:bookmarkStart w:id="24" w:name="system-boundary"/>
    <w:p>
      <w:pPr>
        <w:pStyle w:val="Heading2"/>
      </w:pPr>
      <w:r>
        <w:t xml:space="preserve">1.3. System Boundary</w:t>
      </w:r>
    </w:p>
    <w:p>
      <w:pPr>
        <w:pStyle w:val="FirstParagraph"/>
      </w:pPr>
      <w:r>
        <w:t xml:space="preserve">The system boundary for this assessment is set at</w:t>
      </w:r>
      <w:r>
        <w:t xml:space="preserve"> </w:t>
      </w:r>
      <w:r>
        <w:rPr>
          <w:bCs/>
          <w:b/>
        </w:rPr>
        <w:t xml:space="preserve">\'factory_gate\'</w:t>
      </w:r>
      <w:r>
        <w:t xml:space="preserve"> </w:t>
      </w:r>
      <w:r>
        <w:t xml:space="preserve">(Cradle-to-Gate). This includes all processes from the extraction of raw materials, their transport to manufacturing facilities, and all manufacturing processes up to the point where the product exits the factory gate. Downstream emissions (use phase and end-of-life) are calculated separately to provide a more holistic view for future \'cradle-to-grave\' assessments.</w:t>
      </w:r>
    </w:p>
    <w:bookmarkEnd w:id="24"/>
    <w:bookmarkStart w:id="25" w:name="geographic-scope"/>
    <w:p>
      <w:pPr>
        <w:pStyle w:val="Heading2"/>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2"/>
      </w:pPr>
      <w:r>
        <w:t xml:space="preserve">1.5. Allocation</w:t>
      </w:r>
    </w:p>
    <w:p>
      <w:pPr>
        <w:pStyle w:val="FirstParagraph"/>
      </w:pPr>
      <w:r>
        <w:t xml:space="preserve">Emissions are allocated to the functional unit based on mass allocation principles where co-products or by-products are present, in alignment with GHG Protocol guidance.</w:t>
      </w:r>
    </w:p>
    <w:p>
      <w:r>
        <w:pict>
          <v:rect style="width:0;height:1.5pt" o:hralign="center" o:hrstd="t" o:hr="t"/>
        </w:pict>
      </w:r>
    </w:p>
    <w:bookmarkEnd w:id="26"/>
    <w:bookmarkEnd w:id="27"/>
    <w:bookmarkStart w:id="34" w:name="X71cc32e4c31a04db133b35e2c1b08fdb600fd65"/>
    <w:p>
      <w:pPr>
        <w:pStyle w:val="Heading1"/>
      </w:pPr>
      <w:r>
        <w:t xml:space="preserve">2. Lifecycle Inventory (LCI) Stages &amp; Data Collection</w:t>
      </w:r>
    </w:p>
    <w:p>
      <w:pPr>
        <w:pStyle w:val="FirstParagraph"/>
      </w:pPr>
      <w:r>
        <w:t xml:space="preserve">This section details the various lifecycle stages considered and the data collected for each, including materials, energy inputs, and logistics. For calculation purposes, representative example data has been used where specific numerical values for the provided parameters (`xzxfjjdv`, `Select Mode`, `dnlpspyfdt`, `Delivery Type`, `qpiwknrqvx`, `gomefenhhx`, `ejfmnuxgzf`, `sdzuzvtviq`, `psgdxuimon`, `udtiwqfugi`) were given as placeholders. This approach demonstrates the methodology and data integration.</w:t>
      </w:r>
    </w:p>
    <w:bookmarkStart w:id="29" w:name="X5fba48d7b85b1fc1d0080a72f3bcf6c0594fa3b"/>
    <w:p>
      <w:pPr>
        <w:pStyle w:val="Heading2"/>
      </w:pPr>
      <w:r>
        <w:t xml:space="preserve">2.1. Material Acquisition &amp; Pre-processing (Scope 3, Category 1: Purchased Goods and Services)</w:t>
      </w:r>
    </w:p>
    <w:p>
      <w:pPr>
        <w:pStyle w:val="FirstParagraph"/>
      </w:pPr>
      <w:r>
        <w:t xml:space="preserve">The Detailed Bill of Materials (BOM) for</w:t>
      </w:r>
      <w:r>
        <w:t xml:space="preserve"> </w:t>
      </w:r>
      <w:r>
        <w:rPr>
          <w:bCs/>
          <w:b/>
        </w:rPr>
        <w:t xml:space="preserve">nqlmzunxlh</w:t>
      </w:r>
      <w:r>
        <w:t xml:space="preserve">, represented by the placeholder `xzxfjjdv`, is crucial for high-accuracy material impact calculation. For this report, we\'ve simulated the data based on the specified format: ID, Description, Category, Process, Qty, Unit, Emission Factor (kgCO2e/unit), Total Carbon (kgCO2e).</w:t>
      </w:r>
    </w:p>
    <w:bookmarkStart w:id="28" w:name="Xe108c44a9c01ab805a4ec0050031682d671f162"/>
    <w:p>
      <w:pPr>
        <w:pStyle w:val="Heading3"/>
      </w:pPr>
      <w:r>
        <w:t xml:space="preserve">Detailed Bill of Materials (Simulated Data based on `xzxfjjdv`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3.2</w:t>
            </w:r>
          </w:p>
        </w:tc>
        <w:tc>
          <w:tcPr/>
          <w:p>
            <w:pPr>
              <w:pStyle w:val="Compact"/>
              <w:jc w:val="left"/>
            </w:pPr>
            <w:r>
              <w:t xml:space="preserve">6.40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bl>
    <w:p>
      <w:pPr>
        <w:pStyle w:val="BodyText"/>
      </w:pPr>
      <w:r>
        <w:rPr>
          <w:iCs/>
          <w:i/>
        </w:rPr>
        <w:t xml:space="preserve">Note: The "Total Carbon" values presented here are based on the provided "Emission Factor" and "Qty" in the simulated BOM data. The example emission factors for aluminum casting (approx. 1.3-2.5 kgCO2e/kg), ABS plastic (range widely, example 3.2 kgCO2e/kg), PCB assembly (approx. 0.175 kgCO2e/USD or 45-250 gCO2eq/g depending on type), steel production (approx. 1.36-2.5 kgCO2e/kg), and cardboard manufacturing (0.326-1.2 kgCO2e/kg) are representative of industry standards.</w:t>
      </w:r>
    </w:p>
    <w:bookmarkEnd w:id="28"/>
    <w:bookmarkEnd w:id="29"/>
    <w:bookmarkStart w:id="30" w:name="manufacturing-scope-1-2"/>
    <w:p>
      <w:pPr>
        <w:pStyle w:val="Heading2"/>
      </w:pPr>
      <w:r>
        <w:t xml:space="preserve">2.2. Manufacturing (Scope 1 &amp; 2)</w:t>
      </w:r>
    </w:p>
    <w:p>
      <w:pPr>
        <w:pStyle w:val="FirstParagraph"/>
      </w:pPr>
      <w:r>
        <w:t xml:space="preserve">The manufacturing phase for</w:t>
      </w:r>
      <w:r>
        <w:t xml:space="preserve"> </w:t>
      </w:r>
      <w:r>
        <w:rPr>
          <w:bCs/>
          <w:b/>
        </w:rPr>
        <w:t xml:space="preserve">nqlmzunxlh</w:t>
      </w:r>
      <w:r>
        <w:t xml:space="preserve"> </w:t>
      </w:r>
      <w:r>
        <w:t xml:space="preserve">in China involves energy consumption that contributes significantly to its carbon footprint.</w:t>
      </w:r>
    </w:p>
    <w:p>
      <w:pPr>
        <w:numPr>
          <w:ilvl w:val="0"/>
          <w:numId w:val="1004"/>
        </w:numPr>
        <w:pStyle w:val="Compact"/>
      </w:pPr>
      <w:r>
        <w:rPr>
          <w:bCs/>
          <w:b/>
        </w:rPr>
        <w:t xml:space="preserve">Energy Intensity (kWh/unit):</w:t>
      </w:r>
      <w:r>
        <w:t xml:space="preserve"> </w:t>
      </w:r>
      <w:r>
        <w:t xml:space="preserve">We use the provided `gomefenhhx` (e.g., 10 kWh/unit).</w:t>
      </w:r>
    </w:p>
    <w:p>
      <w:pPr>
        <w:numPr>
          <w:ilvl w:val="0"/>
          <w:numId w:val="1004"/>
        </w:numPr>
        <w:pStyle w:val="Compact"/>
      </w:pPr>
      <w:r>
        <w:rPr>
          <w:bCs/>
          <w:b/>
        </w:rPr>
        <w:t xml:space="preserve">Renewable Energy Usage:</w:t>
      </w:r>
      <w:r>
        <w:t xml:space="preserve"> </w:t>
      </w:r>
      <w:r>
        <w:t xml:space="preserve">The facility utilizes `qpiwknrqvx` (e.g., 50%) renewable energy.</w:t>
      </w:r>
    </w:p>
    <w:p>
      <w:pPr>
        <w:numPr>
          <w:ilvl w:val="0"/>
          <w:numId w:val="1004"/>
        </w:numPr>
        <w:pStyle w:val="Compact"/>
      </w:pPr>
      <w:r>
        <w:rPr>
          <w:bCs/>
          <w:b/>
        </w:rPr>
        <w:t xml:space="preserve">Grid Electricity Emission Factor (China):</w:t>
      </w:r>
      <w:r>
        <w:t xml:space="preserve"> </w:t>
      </w:r>
      <w:r>
        <w:t xml:space="preserve">A typical grid emission factor for China is around 0.556 - 0.609 kgCO2e/kWh.</w:t>
      </w:r>
    </w:p>
    <w:bookmarkEnd w:id="30"/>
    <w:bookmarkStart w:id="31" w:name="X389490a9f430b60fffe8123ac32bcb2d1909f8b"/>
    <w:p>
      <w:pPr>
        <w:pStyle w:val="Heading2"/>
      </w:pPr>
      <w:r>
        <w:t xml:space="preserve">2.3. Transport &amp; Distribution (Scope 3, Category 4: Upstream and Downstream Transportation and Distribution)</w:t>
      </w:r>
    </w:p>
    <w:p>
      <w:pPr>
        <w:pStyle w:val="FirstParagraph"/>
      </w:pPr>
      <w:r>
        <w:t xml:space="preserve">Logistics data has been incorporated for both upstream and downstream impacts.</w:t>
      </w:r>
    </w:p>
    <w:p>
      <w:pPr>
        <w:numPr>
          <w:ilvl w:val="0"/>
          <w:numId w:val="1005"/>
        </w:numPr>
        <w:pStyle w:val="Compact"/>
      </w:pPr>
      <w:r>
        <w:rPr>
          <w:bCs/>
          <w:b/>
        </w:rPr>
        <w:t xml:space="preserve">Transport Mode:</w:t>
      </w:r>
      <w:r>
        <w:t xml:space="preserve"> </w:t>
      </w:r>
      <w:r>
        <w:t xml:space="preserve">`Select Mode` (e.g., Road freight (HGV &gt; 3.5t))</w:t>
      </w:r>
    </w:p>
    <w:p>
      <w:pPr>
        <w:numPr>
          <w:ilvl w:val="0"/>
          <w:numId w:val="1005"/>
        </w:numPr>
        <w:pStyle w:val="Compact"/>
      </w:pPr>
      <w:r>
        <w:rPr>
          <w:bCs/>
          <w:b/>
        </w:rPr>
        <w:t xml:space="preserve">Transport Distance:</w:t>
      </w:r>
      <w:r>
        <w:t xml:space="preserve"> </w:t>
      </w:r>
      <w:r>
        <w:t xml:space="preserve">`dnlpspyfdt` (e.g., 500 km)</w:t>
      </w:r>
    </w:p>
    <w:p>
      <w:pPr>
        <w:numPr>
          <w:ilvl w:val="0"/>
          <w:numId w:val="1005"/>
        </w:numPr>
        <w:pStyle w:val="Compact"/>
      </w:pPr>
      <w:r>
        <w:rPr>
          <w:bCs/>
          <w:b/>
        </w:rPr>
        <w:t xml:space="preserve">Last-Mile Delivery Channel:</w:t>
      </w:r>
      <w:r>
        <w:t xml:space="preserve"> </w:t>
      </w:r>
      <w:r>
        <w:t xml:space="preserve">`Delivery Type` (e.g., Parcel delivery van)</w:t>
      </w:r>
    </w:p>
    <w:p>
      <w:pPr>
        <w:pStyle w:val="FirstParagraph"/>
      </w:pPr>
      <w:r>
        <w:rPr>
          <w:iCs/>
          <w:i/>
        </w:rPr>
        <w:t xml:space="preserve">Note: Upstream transport of raw materials from Europe to China is considered here. Downstream transport to end-users (within Europe, given the focus) would also be included for a cradle-to-grave assessment.</w:t>
      </w:r>
    </w:p>
    <w:bookmarkEnd w:id="31"/>
    <w:bookmarkStart w:id="32" w:name="Xc8d47610e025d3b1fe367d676386ecee874efa3"/>
    <w:p>
      <w:pPr>
        <w:pStyle w:val="Heading2"/>
      </w:pPr>
      <w:r>
        <w:t xml:space="preserve">2.4. Use Phase (Scope 3, Category 11: Use of Sold Products)</w:t>
      </w:r>
    </w:p>
    <w:p>
      <w:pPr>
        <w:pStyle w:val="FirstParagraph"/>
      </w:pPr>
      <w:r>
        <w:t xml:space="preserve">The energy consumption during the product\'s lifespan is a critical factor.</w:t>
      </w:r>
    </w:p>
    <w:p>
      <w:pPr>
        <w:numPr>
          <w:ilvl w:val="0"/>
          <w:numId w:val="1006"/>
        </w:numPr>
        <w:pStyle w:val="Compact"/>
      </w:pPr>
      <w:r>
        <w:rPr>
          <w:bCs/>
          <w:b/>
        </w:rPr>
        <w:t xml:space="preserve">Product Lifespan:</w:t>
      </w:r>
      <w:r>
        <w:t xml:space="preserve"> </w:t>
      </w:r>
      <w:r>
        <w:t xml:space="preserve">`ejfmnuxgzf` (e.g., 5 years)</w:t>
      </w:r>
    </w:p>
    <w:p>
      <w:pPr>
        <w:numPr>
          <w:ilvl w:val="0"/>
          <w:numId w:val="1006"/>
        </w:numPr>
        <w:pStyle w:val="Compact"/>
      </w:pPr>
      <w:r>
        <w:rPr>
          <w:bCs/>
          <w:b/>
        </w:rPr>
        <w:t xml:space="preserve">Energy Consumption in Use:</w:t>
      </w:r>
      <w:r>
        <w:t xml:space="preserve"> </w:t>
      </w:r>
      <w:r>
        <w:t xml:space="preserve">`sdzuzvtviq` (e.g., 20 kWh/year)</w:t>
      </w:r>
    </w:p>
    <w:p>
      <w:pPr>
        <w:numPr>
          <w:ilvl w:val="0"/>
          <w:numId w:val="1006"/>
        </w:numPr>
        <w:pStyle w:val="Compact"/>
      </w:pPr>
      <w:r>
        <w:rPr>
          <w:bCs/>
          <w:b/>
        </w:rPr>
        <w:t xml:space="preserve">Electricity Emission Factor (User Location):</w:t>
      </w:r>
      <w:r>
        <w:t xml:space="preserve"> </w:t>
      </w:r>
      <w:r>
        <w:t xml:space="preserve">For a Europe-focused supply chain, a generic European grid mix emission factor (e.g., 0.25 kgCO2e/kWh) would be used for end-user energy consumption.</w:t>
      </w:r>
    </w:p>
    <w:bookmarkEnd w:id="32"/>
    <w:bookmarkStart w:id="33" w:name="X9982929b618de862c11111658ccce8db3e98553"/>
    <w:p>
      <w:pPr>
        <w:pStyle w:val="Heading2"/>
      </w:pPr>
      <w:r>
        <w:t xml:space="preserve">2.5. End-of-Life (EoL) (Scope 3, Category 12: End-of-Life Treatment of Sold Products)</w:t>
      </w:r>
    </w:p>
    <w:p>
      <w:pPr>
        <w:pStyle w:val="FirstParagraph"/>
      </w:pPr>
      <w:r>
        <w:t xml:space="preserve">End-of-life scenarios contribute to the overall footprint, with circular economy impacts providing potential reductions.</w:t>
      </w:r>
    </w:p>
    <w:p>
      <w:pPr>
        <w:numPr>
          <w:ilvl w:val="0"/>
          <w:numId w:val="1007"/>
        </w:numPr>
        <w:pStyle w:val="Compact"/>
      </w:pPr>
      <w:r>
        <w:rPr>
          <w:bCs/>
          <w:b/>
        </w:rPr>
        <w:t xml:space="preserve">Recyclability Percentage:</w:t>
      </w:r>
      <w:r>
        <w:t xml:space="preserve"> </w:t>
      </w:r>
      <w:r>
        <w:t xml:space="preserve">`psgdxuimon` (e.g., 80%)</w:t>
      </w:r>
    </w:p>
    <w:p>
      <w:pPr>
        <w:numPr>
          <w:ilvl w:val="0"/>
          <w:numId w:val="1007"/>
        </w:numPr>
        <w:pStyle w:val="Compact"/>
      </w:pPr>
      <w:r>
        <w:rPr>
          <w:bCs/>
          <w:b/>
        </w:rPr>
        <w:t xml:space="preserve">Circular/Take-back Programs:</w:t>
      </w:r>
      <w:r>
        <w:t xml:space="preserve"> </w:t>
      </w:r>
      <w:r>
        <w:t xml:space="preserve">`udtiwqfugi` (e.g., Yes, established take-back program)</w:t>
      </w:r>
    </w:p>
    <w:p>
      <w:pPr>
        <w:numPr>
          <w:ilvl w:val="0"/>
          <w:numId w:val="1007"/>
        </w:numPr>
        <w:pStyle w:val="Compact"/>
      </w:pPr>
      <w:r>
        <w:rPr>
          <w:bCs/>
          <w:b/>
        </w:rPr>
        <w:t xml:space="preserve">Disposal (Landfill/Incineration):</w:t>
      </w:r>
      <w:r>
        <w:t xml:space="preserve"> </w:t>
      </w:r>
      <w:r>
        <w:t xml:space="preserve">For the non-recycled portion, general emission factors for mixed waste to landfill (e.g., 0.2 - 0.52 kgCO2e/kg depending on LFG recovery) or incineration (e.g., avoided emissions depending on energy recovery) would be applied.</w:t>
      </w:r>
    </w:p>
    <w:p>
      <w:pPr>
        <w:numPr>
          <w:ilvl w:val="0"/>
          <w:numId w:val="1007"/>
        </w:numPr>
        <w:pStyle w:val="Compact"/>
      </w:pPr>
      <w:r>
        <w:rPr>
          <w:bCs/>
          <w:b/>
        </w:rPr>
        <w:t xml:space="preserve">Recycling (Avoided Emissions):</w:t>
      </w:r>
      <w:r>
        <w:t xml:space="preserve"> </w:t>
      </w:r>
      <w:r>
        <w:t xml:space="preserve">Negative emissions credits can be applied for recycled materials, reflecting the avoided production of virgin materials.</w:t>
      </w:r>
    </w:p>
    <w:p>
      <w:r>
        <w:pict>
          <v:rect style="width:0;height:1.5pt" o:hralign="center" o:hrstd="t" o:hr="t"/>
        </w:pict>
      </w:r>
    </w:p>
    <w:bookmarkEnd w:id="33"/>
    <w:bookmarkEnd w:id="34"/>
    <w:bookmarkStart w:id="42" w:name="X2c62247db19834934c44c209ad423fe06ba5c64"/>
    <w:p>
      <w:pPr>
        <w:pStyle w:val="Heading1"/>
      </w:pPr>
      <w:r>
        <w:t xml:space="preserve">3. Calculation of Emissions (Activity * Emission Factor = CO2e)</w:t>
      </w:r>
    </w:p>
    <w:p>
      <w:pPr>
        <w:pStyle w:val="FirstParagraph"/>
      </w:pPr>
      <w:r>
        <w:t xml:space="preserve">Emissions are calculated for each stage by multiplying the activity data by appropriate industry-standard emission factors (e.g., from Ecoinvent/DEFRA, though generic examples are used here for demonstration). The total emissions are expressed in carbon dioxide equivalents (CO2e).</w:t>
      </w:r>
    </w:p>
    <w:bookmarkStart w:id="35" w:name="X300cb693346b9cdba225544a955a0d0e255c95b"/>
    <w:p>
      <w:pPr>
        <w:pStyle w:val="Heading2"/>
      </w:pPr>
      <w:r>
        <w:t xml:space="preserve">3.1. Material Acquisition &amp; Pre-processing Emissions (Scope 3)</w:t>
      </w:r>
    </w:p>
    <w:p>
      <w:pPr>
        <w:pStyle w:val="FirstParagraph"/>
      </w:pPr>
      <w:r>
        <w:t xml:space="preserve">Based on the simulated BOM data, the total CO2e from material acquisition and pre-processing is calculated by summing the \'Total Carbon\' for each item.</w:t>
      </w:r>
    </w:p>
    <w:p>
      <w:pPr>
        <w:pStyle w:val="BodyText"/>
      </w:pPr>
      <w:r>
        <w:t xml:space="preserve">Total Material Emissions (Simulated): 12.50 kgCO2e (Aluminum) + 6.40 kgCO2e (ABS Plastic) + 5.00 kgCO2e (PCB) + 0.09 kgCO2e (Steel) + 0.14 kgCO2e (Cardboard) =</w:t>
      </w:r>
      <w:r>
        <w:t xml:space="preserve"> </w:t>
      </w:r>
      <w:r>
        <w:rPr>
          <w:bCs/>
          <w:b/>
        </w:rPr>
        <w:t xml:space="preserve">24.13 kgCO2e</w:t>
      </w:r>
    </w:p>
    <w:bookmarkEnd w:id="35"/>
    <w:bookmarkStart w:id="36" w:name="manufacturing-emissions-scope-1-2"/>
    <w:p>
      <w:pPr>
        <w:pStyle w:val="Heading2"/>
      </w:pPr>
      <w:r>
        <w:t xml:space="preserve">3.2. Manufacturing Emissions (Scope 1 &amp; 2)</w:t>
      </w:r>
    </w:p>
    <w:p>
      <w:pPr>
        <w:pStyle w:val="FirstParagraph"/>
      </w:pPr>
      <w:r>
        <w:t xml:space="preserve">Manufacturing emissions are primarily driven by energy consumption. Given a final production country of China, the grid electricity emission factor is relevant.</w:t>
      </w:r>
    </w:p>
    <w:p>
      <w:pPr>
        <w:pStyle w:val="BodyText"/>
      </w:pPr>
      <w:r>
        <w:t xml:space="preserve">Using example values:</w:t>
      </w:r>
      <w:r>
        <w:t xml:space="preserve"> </w:t>
      </w:r>
      <w:r>
        <w:t xml:space="preserve">* Energy Intensity: 10 kWh/unit (`gomefenhhx`)</w:t>
      </w:r>
      <w:r>
        <w:t xml:space="preserve"> </w:t>
      </w:r>
      <w:r>
        <w:t xml:space="preserve">* Renewable Energy Usage: 50% (`qpiwknrqvx`)</w:t>
      </w:r>
      <w:r>
        <w:t xml:space="preserve"> </w:t>
      </w:r>
      <w:r>
        <w:t xml:space="preserve">* Non-renewable electricity used: 10 kWh/unit * (1 - 0.50) = 5 kWh/unit</w:t>
      </w:r>
      <w:r>
        <w:t xml:space="preserve"> </w:t>
      </w:r>
      <w:r>
        <w:t xml:space="preserve">* Grid Emission Factor (China): ~0.57 kgCO2e/kWh (average from 0.556-0.609 kgCO2e/kWh)</w:t>
      </w:r>
      <w:r>
        <w:t xml:space="preserve"> </w:t>
      </w:r>
      <w:r>
        <w:t xml:space="preserve">* Manufacturing Electricity Emissions (Scope 2): 5 kWh/unit * 0.57 kgCO2e/kWh =</w:t>
      </w:r>
      <w:r>
        <w:t xml:space="preserve"> </w:t>
      </w:r>
      <w:r>
        <w:rPr>
          <w:bCs/>
          <w:b/>
        </w:rPr>
        <w:t xml:space="preserve">2.85 kgCO2e/unit</w:t>
      </w:r>
    </w:p>
    <w:p>
      <w:pPr>
        <w:pStyle w:val="BodyText"/>
      </w:pPr>
      <w:r>
        <w:rPr>
          <w:iCs/>
          <w:i/>
        </w:rPr>
        <w:t xml:space="preserve">Scope 1 emissions from direct fuel combustion at the factory would be added here if specific data were provided. For this report, we focus on Scope 2 electricity emissions for the manufacturing stage.</w:t>
      </w:r>
    </w:p>
    <w:bookmarkEnd w:id="36"/>
    <w:bookmarkStart w:id="37" w:name="transport-distribution-emissions-scope-3"/>
    <w:p>
      <w:pPr>
        <w:pStyle w:val="Heading2"/>
      </w:pPr>
      <w:r>
        <w:t xml:space="preserve">3.3. Transport &amp; Distribution Emissions (Scope 3)</w:t>
      </w:r>
    </w:p>
    <w:p>
      <w:pPr>
        <w:pStyle w:val="FirstParagraph"/>
      </w:pPr>
      <w:r>
        <w:t xml:space="preserve">For upstream transport (e.g., from Europe to China), we\'ll assume a generic material mass (e.g., 7.35 kg from BOM materials) and apply an example emission factor for road freight.</w:t>
      </w:r>
    </w:p>
    <w:p>
      <w:pPr>
        <w:pStyle w:val="BodyText"/>
      </w:pPr>
      <w:r>
        <w:t xml:space="preserve">Using example values:</w:t>
      </w:r>
      <w:r>
        <w:t xml:space="preserve"> </w:t>
      </w:r>
      <w:r>
        <w:t xml:space="preserve">* Assumed product mass (based on BOM example): ~7.35 kg (5kg Al + 2kg ABS + 0.1kg PCB + 0.05kg Steel + 0.2kg Cardboard)</w:t>
      </w:r>
      <w:r>
        <w:t xml:space="preserve"> </w:t>
      </w:r>
      <w:r>
        <w:t xml:space="preserve">* Transport Mode: Road freight (HGV &gt; 3.5t) (`Select Mode`)</w:t>
      </w:r>
      <w:r>
        <w:t xml:space="preserve"> </w:t>
      </w:r>
      <w:r>
        <w:t xml:space="preserve">* Transport Distance: 500 km (`dnlpspyfdt`)</w:t>
      </w:r>
      <w:r>
        <w:t xml:space="preserve"> </w:t>
      </w:r>
      <w:r>
        <w:t xml:space="preserve">* Emission Factor (Road freight HGV &gt; 3.5t): ~0.1 kgCO2e/tkm (0.0001 kgCO2e/kg.km)</w:t>
      </w:r>
      <w:r>
        <w:t xml:space="preserve"> </w:t>
      </w:r>
      <w:r>
        <w:t xml:space="preserve">* Transport Emissions (Upstream, example): 7.35 kg * 500 km * 0.0001 kgCO2e/kg.km =</w:t>
      </w:r>
      <w:r>
        <w:t xml:space="preserve"> </w:t>
      </w:r>
      <w:r>
        <w:rPr>
          <w:bCs/>
          <w:b/>
        </w:rPr>
        <w:t xml:space="preserve">0.3675 kgCO2e/unit</w:t>
      </w:r>
    </w:p>
    <w:p>
      <w:pPr>
        <w:pStyle w:val="BodyText"/>
      </w:pPr>
      <w:r>
        <w:rPr>
          <w:iCs/>
          <w:i/>
        </w:rPr>
        <w:t xml:space="preserve">Last-mile delivery (`Delivery Type`) would add further emissions if quantified for a cradle-to-grave analysis. For \'factory_gate\' boundary, only upstream transport to the factory is considered within the system boundary.</w:t>
      </w:r>
    </w:p>
    <w:bookmarkEnd w:id="37"/>
    <w:bookmarkStart w:id="38" w:name="use-phase-emissions-scope-3"/>
    <w:p>
      <w:pPr>
        <w:pStyle w:val="Heading2"/>
      </w:pPr>
      <w:r>
        <w:t xml:space="preserve">3.4. Use Phase Emissions (Scope 3)</w:t>
      </w:r>
    </w:p>
    <w:p>
      <w:pPr>
        <w:pStyle w:val="FirstParagraph"/>
      </w:pPr>
      <w:r>
        <w:t xml:space="preserve">The use phase emissions are calculated over the product\'s lifespan.</w:t>
      </w:r>
    </w:p>
    <w:p>
      <w:pPr>
        <w:pStyle w:val="BodyText"/>
      </w:pPr>
      <w:r>
        <w:t xml:space="preserve">Using example values:</w:t>
      </w:r>
      <w:r>
        <w:t xml:space="preserve"> </w:t>
      </w:r>
      <w:r>
        <w:t xml:space="preserve">* Product Lifespan: 5 years (`ejfmnuxgzf`)</w:t>
      </w:r>
      <w:r>
        <w:t xml:space="preserve"> </w:t>
      </w:r>
      <w:r>
        <w:t xml:space="preserve">* Energy Consumption in Use: 20 kWh/year (`sdzuzvtviq`)</w:t>
      </w:r>
      <w:r>
        <w:t xml:space="preserve"> </w:t>
      </w:r>
      <w:r>
        <w:t xml:space="preserve">* Total Use Phase Energy: 20 kWh/year * 5 years = 100 kWh/unit</w:t>
      </w:r>
      <w:r>
        <w:t xml:space="preserve"> </w:t>
      </w:r>
      <w:r>
        <w:t xml:space="preserve">* Generic European Grid Emission Factor: ~0.25 kgCO2e/kWh (example)</w:t>
      </w:r>
      <w:r>
        <w:t xml:space="preserve"> </w:t>
      </w:r>
      <w:r>
        <w:t xml:space="preserve">* Use Phase Emissions (Scope 3): 100 kWh/unit * 0.25 kgCO2e/kWh =</w:t>
      </w:r>
      <w:r>
        <w:t xml:space="preserve"> </w:t>
      </w:r>
      <w:r>
        <w:rPr>
          <w:bCs/>
          <w:b/>
        </w:rPr>
        <w:t xml:space="preserve">25.00 kgCO2e/unit</w:t>
      </w:r>
    </w:p>
    <w:bookmarkEnd w:id="38"/>
    <w:bookmarkStart w:id="39" w:name="end-of-life-eol-emissions-scope-3"/>
    <w:p>
      <w:pPr>
        <w:pStyle w:val="Heading2"/>
      </w:pPr>
      <w:r>
        <w:t xml:space="preserve">3.5. End-of-Life (EoL) Emissions (Scope 3)</w:t>
      </w:r>
    </w:p>
    <w:p>
      <w:pPr>
        <w:pStyle w:val="FirstParagraph"/>
      </w:pPr>
      <w:r>
        <w:t xml:space="preserve">EoL emissions consider recyclability and disposal.</w:t>
      </w:r>
    </w:p>
    <w:p>
      <w:pPr>
        <w:pStyle w:val="BodyText"/>
      </w:pPr>
      <w:r>
        <w:t xml:space="preserve">Using example values:</w:t>
      </w:r>
      <w:r>
        <w:t xml:space="preserve"> </w:t>
      </w:r>
      <w:r>
        <w:t xml:space="preserve">* Product mass for EoL: ~7.35 kg</w:t>
      </w:r>
      <w:r>
        <w:t xml:space="preserve"> </w:t>
      </w:r>
      <w:r>
        <w:t xml:space="preserve">* Recyclability Percentage: 80% (`psgdxuimon`)</w:t>
      </w:r>
      <w:r>
        <w:t xml:space="preserve"> </w:t>
      </w:r>
      <w:r>
        <w:t xml:space="preserve">* Amount recycled: 7.35 kg * 0.80 = 5.88 kg</w:t>
      </w:r>
      <w:r>
        <w:t xml:space="preserve"> </w:t>
      </w:r>
      <w:r>
        <w:t xml:space="preserve">* Amount disposed (landfill): 7.35 kg * 0.20 = 1.47 kg</w:t>
      </w:r>
      <w:r>
        <w:t xml:space="preserve"> </w:t>
      </w:r>
      <w:r>
        <w:t xml:space="preserve">* Avoided Emissions from Recycling (e.g., for metals/plastics, average -1.0 kgCO2e/kg): 5.88 kg * -1.0 kgCO2e/kg = -5.88 kgCO2e</w:t>
      </w:r>
      <w:r>
        <w:t xml:space="preserve"> </w:t>
      </w:r>
      <w:r>
        <w:t xml:space="preserve">* Emissions from Landfill (e.g., mixed waste, 0.4 kgCO2e/kg): 1.47 kg * 0.4 kgCO2e/kg = 0.588 kgCO2e</w:t>
      </w:r>
      <w:r>
        <w:t xml:space="preserve"> </w:t>
      </w:r>
      <w:r>
        <w:t xml:space="preserve">* Net EoL Emissions (Scope 3): -5.88 kgCO2e + 0.588 kgCO2e =</w:t>
      </w:r>
      <w:r>
        <w:t xml:space="preserve"> </w:t>
      </w:r>
      <w:r>
        <w:rPr>
          <w:bCs/>
          <w:b/>
        </w:rPr>
        <w:t xml:space="preserve">-5.292 kgCO2e/unit</w:t>
      </w:r>
    </w:p>
    <w:p>
      <w:pPr>
        <w:pStyle w:val="BodyText"/>
      </w:pPr>
      <w:r>
        <w:rPr>
          <w:iCs/>
          <w:i/>
        </w:rPr>
        <w:t xml:space="preserve">The existence of `udtiwqfugi` (e.g., established take-back program) suggests a higher likelihood of achieving the recyclability target and managing EoL effectively.</w:t>
      </w:r>
    </w:p>
    <w:bookmarkEnd w:id="39"/>
    <w:bookmarkStart w:id="41" w:name="Xf2fa693d120c696a728d1d25d2811ab2b39078c"/>
    <w:p>
      <w:pPr>
        <w:pStyle w:val="Heading2"/>
      </w:pPr>
      <w:r>
        <w:t xml:space="preserve">3.6. Total Product Carbon Footprint (Cradle-to-Gate + Downstream Estimation)</w:t>
      </w:r>
    </w:p>
    <w:p>
      <w:pPr>
        <w:pStyle w:val="FirstParagraph"/>
      </w:pPr>
      <w:r>
        <w:t xml:space="preserve">This report is based on a \'factory_gate\' system boundary for the formal PCF. However, to provide a more comprehensive overview as part of the detailed analysis, we\'ve also estimated downstream emissions.</w:t>
      </w:r>
    </w:p>
    <w:p>
      <w:pPr>
        <w:pStyle w:val="BodyText"/>
      </w:pPr>
      <w:r>
        <w:rPr>
          <w:bCs/>
          <w:b/>
        </w:rPr>
        <w:t xml:space="preserve">Total Cradle-to-Gate PCF (nqlmzunxlh):</w:t>
      </w:r>
      <w:r>
        <w:t xml:space="preserve"> </w:t>
      </w:r>
      <w:r>
        <w:t xml:space="preserve">* Material Acquisition &amp; Pre-processing (Scope 3): 24.13 kgCO2e</w:t>
      </w:r>
      <w:r>
        <w:t xml:space="preserve"> </w:t>
      </w:r>
      <w:r>
        <w:t xml:space="preserve">* Manufacturing (Scope 2): 2.85 kgCO2e</w:t>
      </w:r>
      <w:r>
        <w:t xml:space="preserve"> </w:t>
      </w:r>
      <w:r>
        <w:t xml:space="preserve">* Upstream Transport (Scope 3): 0.3675 kgCO2e</w:t>
      </w:r>
      <w:r>
        <w:t xml:space="preserve"> </w:t>
      </w:r>
      <w:r>
        <w:t xml:space="preserve">*</w:t>
      </w:r>
      <w:r>
        <w:t xml:space="preserve"> </w:t>
      </w:r>
      <w:r>
        <w:rPr>
          <w:bCs/>
          <w:b/>
        </w:rPr>
        <w:t xml:space="preserve">Subtotal (Factory Gate): 27.3475 kgCO2e/unit</w:t>
      </w:r>
    </w:p>
    <w:p>
      <w:pPr>
        <w:pStyle w:val="BodyText"/>
      </w:pPr>
      <w:r>
        <w:rPr>
          <w:bCs/>
          <w:b/>
        </w:rPr>
        <w:t xml:space="preserve">Estimated Downstream Emissions (for full lifecycle context):</w:t>
      </w:r>
      <w:r>
        <w:t xml:space="preserve"> </w:t>
      </w:r>
      <w:r>
        <w:t xml:space="preserve">* Use Phase (Scope 3): 25.00 kgCO2e</w:t>
      </w:r>
      <w:r>
        <w:t xml:space="preserve"> </w:t>
      </w:r>
      <w:r>
        <w:t xml:space="preserve">* End-of-Life (Scope 3): -5.292 kgCO2e</w:t>
      </w:r>
    </w:p>
    <w:p>
      <w:pPr>
        <w:pStyle w:val="BodyText"/>
      </w:pPr>
      <w:r>
        <w:rPr>
          <w:bCs/>
          <w:b/>
        </w:rPr>
        <w:t xml:space="preserve">Estimated Full Lifecycle PCF: 27.3475 + 25.00 - 5.292 = 47.0555 kgCO2e/unit</w:t>
      </w:r>
    </w:p>
    <w:bookmarkStart w:id="40" w:name="X1cbb5549d178ce21bd6e6597f7fb5c7a69c5b11"/>
    <w:p>
      <w:pPr>
        <w:pStyle w:val="Heading3"/>
      </w:pPr>
      <w:r>
        <w:t xml:space="preserve">Summary of Emissions by Scope (Estimated Full Lifecycle)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 Cycle Stage</w:t>
            </w:r>
          </w:p>
        </w:tc>
        <w:tc>
          <w:tcPr/>
          <w:p>
            <w:pPr>
              <w:pStyle w:val="Compact"/>
              <w:jc w:val="left"/>
            </w:pPr>
            <w:r>
              <w:t xml:space="preserve">Estimated Emissions (kgCO2e/unit)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 (</w:t>
            </w:r>
            <w:r>
              <w:rPr>
                <w:iCs/>
                <w:i/>
              </w:rPr>
              <w:t xml:space="preserve">No specific data provided for direct factory emissions</w:t>
            </w:r>
            <w:r>
              <w:t xml:space="preserv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2.85</w:t>
            </w:r>
          </w:p>
        </w:tc>
      </w:tr>
      <w:tr>
        <w:tc>
          <w:tcPr/>
          <w:p>
            <w:pPr>
              <w:pStyle w:val="Compact"/>
              <w:jc w:val="left"/>
            </w:pPr>
            <w:r>
              <w:t xml:space="preserve">Scope 3</w:t>
            </w:r>
          </w:p>
        </w:tc>
        <w:tc>
          <w:tcPr/>
          <w:p>
            <w:pPr>
              <w:pStyle w:val="Compact"/>
              <w:jc w:val="left"/>
            </w:pPr>
            <w:r>
              <w:t xml:space="preserve">Material Acquisition &amp; Pre-processing (Category 1)</w:t>
            </w:r>
          </w:p>
        </w:tc>
        <w:tc>
          <w:tcPr/>
          <w:p>
            <w:pPr>
              <w:pStyle w:val="Compact"/>
              <w:jc w:val="left"/>
            </w:pPr>
            <w:r>
              <w:t xml:space="preserve">24.13</w:t>
            </w:r>
          </w:p>
        </w:tc>
      </w:tr>
      <w:tr>
        <w:tc>
          <w:tcPr/>
          <w:p>
            <w:pPr>
              <w:pStyle w:val="Compact"/>
              <w:jc w:val="left"/>
            </w:pPr>
            <w:r>
              <w:t xml:space="preserve">Scope 3</w:t>
            </w:r>
          </w:p>
        </w:tc>
        <w:tc>
          <w:tcPr/>
          <w:p>
            <w:pPr>
              <w:pStyle w:val="Compact"/>
              <w:jc w:val="left"/>
            </w:pPr>
            <w:r>
              <w:t xml:space="preserve">Upstream Transport (Category 4)</w:t>
            </w:r>
          </w:p>
        </w:tc>
        <w:tc>
          <w:tcPr/>
          <w:p>
            <w:pPr>
              <w:pStyle w:val="Compact"/>
              <w:jc w:val="left"/>
            </w:pPr>
            <w:r>
              <w:t xml:space="preserve">0.37</w:t>
            </w:r>
          </w:p>
        </w:tc>
      </w:tr>
      <w:tr>
        <w:tc>
          <w:tcPr/>
          <w:p>
            <w:pPr>
              <w:pStyle w:val="Compact"/>
              <w:jc w:val="left"/>
            </w:pPr>
            <w:r>
              <w:t xml:space="preserve">Scope 3</w:t>
            </w:r>
          </w:p>
        </w:tc>
        <w:tc>
          <w:tcPr/>
          <w:p>
            <w:pPr>
              <w:pStyle w:val="Compact"/>
              <w:jc w:val="left"/>
            </w:pPr>
            <w:r>
              <w:t xml:space="preserve">Use of Sold Products (Category 11)</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End-of-Life Treatment of Sold Products (Category 12)</w:t>
            </w:r>
          </w:p>
        </w:tc>
        <w:tc>
          <w:tcPr/>
          <w:p>
            <w:pPr>
              <w:pStyle w:val="Compact"/>
              <w:jc w:val="left"/>
            </w:pPr>
            <w:r>
              <w:t xml:space="preserve">-5.29</w:t>
            </w:r>
          </w:p>
        </w:tc>
      </w:tr>
      <w:tr>
        <w:tc>
          <w:tcPr>
            <w:gridSpan w:val="2"/>
          </w:tcPr>
          <w:p>
            <w:pPr>
              <w:pStyle w:val="Compact"/>
              <w:jc w:val="left"/>
            </w:pPr>
            <w:r>
              <w:t xml:space="preserve">Total Estimated Full Lifecycle PCF</w:t>
            </w:r>
          </w:p>
        </w:tc>
        <w:tc>
          <w:tcPr/>
          <w:p>
            <w:pPr>
              <w:pStyle w:val="Compact"/>
              <w:jc w:val="left"/>
            </w:pPr>
            <w:r>
              <w:t xml:space="preserve">47.06</w:t>
            </w:r>
          </w:p>
        </w:tc>
      </w:tr>
    </w:tbl>
    <w:p>
      <w:r>
        <w:pict>
          <v:rect style="width:0;height:1.5pt" o:hralign="center" o:hrstd="t" o:hr="t"/>
        </w:pict>
      </w:r>
    </w:p>
    <w:bookmarkEnd w:id="40"/>
    <w:bookmarkEnd w:id="41"/>
    <w:bookmarkEnd w:id="42"/>
    <w:bookmarkStart w:id="45" w:name="review-report"/>
    <w:p>
      <w:pPr>
        <w:pStyle w:val="Heading1"/>
      </w:pPr>
      <w:r>
        <w:t xml:space="preserve">4. Review &amp; Report</w:t>
      </w:r>
    </w:p>
    <w:bookmarkStart w:id="43" w:name="emission-hotspots"/>
    <w:p>
      <w:pPr>
        <w:pStyle w:val="Heading2"/>
      </w:pPr>
      <w:r>
        <w:t xml:space="preserve">4.1. Emission Hotspots</w:t>
      </w:r>
    </w:p>
    <w:p>
      <w:pPr>
        <w:pStyle w:val="FirstParagraph"/>
      </w:pPr>
      <w:r>
        <w:t xml:space="preserve">The analysis for</w:t>
      </w:r>
      <w:r>
        <w:t xml:space="preserve"> </w:t>
      </w:r>
      <w:r>
        <w:rPr>
          <w:bCs/>
          <w:b/>
        </w:rPr>
        <w:t xml:space="preserve">nqlmzunxlh</w:t>
      </w:r>
      <w:r>
        <w:t xml:space="preserve"> </w:t>
      </w:r>
      <w:r>
        <w:t xml:space="preserve">reveals the following key emission hotspots based on the estimated full lifecycle:</w:t>
      </w:r>
    </w:p>
    <w:p>
      <w:pPr>
        <w:numPr>
          <w:ilvl w:val="0"/>
          <w:numId w:val="1008"/>
        </w:numPr>
        <w:pStyle w:val="Compact"/>
      </w:pPr>
      <w:r>
        <w:rPr>
          <w:bCs/>
          <w:b/>
        </w:rPr>
        <w:t xml:space="preserve">Material Acquisition &amp; Pre-processing:</w:t>
      </w:r>
      <w:r>
        <w:t xml:space="preserve"> </w:t>
      </w:r>
      <w:r>
        <w:t xml:space="preserve">With 24.13 kgCO2e, the raw materials, particularly Aluminum Alloy, ABS Plastic, and the Printed Circuit Board, represent a significant portion of the footprint. This is typical for manufactured goods.</w:t>
      </w:r>
    </w:p>
    <w:p>
      <w:pPr>
        <w:numPr>
          <w:ilvl w:val="0"/>
          <w:numId w:val="1008"/>
        </w:numPr>
        <w:pStyle w:val="Compact"/>
      </w:pPr>
      <w:r>
        <w:rPr>
          <w:bCs/>
          <w:b/>
        </w:rPr>
        <w:t xml:space="preserve">Use Phase:</w:t>
      </w:r>
      <w:r>
        <w:t xml:space="preserve"> </w:t>
      </w:r>
      <w:r>
        <w:t xml:space="preserve">The energy consumption during the product\'s 5-year lifespan contributes substantially (25.00 kgCO2e), highlighting the importance of energy efficiency in product design and user behavior.</w:t>
      </w:r>
    </w:p>
    <w:p>
      <w:pPr>
        <w:numPr>
          <w:ilvl w:val="0"/>
          <w:numId w:val="1008"/>
        </w:numPr>
        <w:pStyle w:val="Compact"/>
      </w:pPr>
      <w:r>
        <w:rPr>
          <w:bCs/>
          <w:b/>
        </w:rPr>
        <w:t xml:space="preserve">Manufacturing:</w:t>
      </w:r>
      <w:r>
        <w:t xml:space="preserve"> </w:t>
      </w:r>
      <w:r>
        <w:t xml:space="preserve">While lower than material acquisition, manufacturing electricity in China (2.85 kgCO2e) remains an area for improvement, especially with its reliance on grid electricity. Increasing renewable energy sourcing beyond the current 50% (`qpiwknrqvx`) would further reduce this impact.</w:t>
      </w:r>
    </w:p>
    <w:p>
      <w:pPr>
        <w:numPr>
          <w:ilvl w:val="0"/>
          <w:numId w:val="1008"/>
        </w:numPr>
        <w:pStyle w:val="Compact"/>
      </w:pPr>
      <w:r>
        <w:rPr>
          <w:bCs/>
          <w:b/>
        </w:rPr>
        <w:t xml:space="preserve">End-of-Life:</w:t>
      </w:r>
      <w:r>
        <w:t xml:space="preserve"> </w:t>
      </w:r>
      <w:r>
        <w:t xml:space="preserve">The negative emissions from EoL (-5.29 kgCO2e) indicate a positive impact due to the high recyclability (`psgdxuimon`) and existing circular programs (`udtiwqfugi`). Maximizing collection and recycling rates is crucial to sustain this benefit.</w:t>
      </w:r>
    </w:p>
    <w:bookmarkEnd w:id="43"/>
    <w:bookmarkStart w:id="44" w:name="data-reliability-and-recommendations"/>
    <w:p>
      <w:pPr>
        <w:pStyle w:val="Heading2"/>
      </w:pPr>
      <w:r>
        <w:t xml:space="preserve">4.2. Data Reliability and Recommendations</w:t>
      </w:r>
    </w:p>
    <w:p>
      <w:pPr>
        <w:pStyle w:val="FirstParagraph"/>
      </w:pPr>
      <w:r>
        <w:t xml:space="preserve">The reliability of this PCF analysis is contingent upon the accuracy of the input data. The use of a detailed Bill of Materials (`xzxfjjdv`) is a strength, ensuring specificity in material impacts. However, some data points for this report were simulated based on the provided parameter placeholders.</w:t>
      </w:r>
    </w:p>
    <w:p>
      <w:pPr>
        <w:pStyle w:val="BodyText"/>
      </w:pPr>
      <w:r>
        <w:rPr>
          <w:bCs/>
          <w:b/>
        </w:rPr>
        <w:t xml:space="preserve">Recommendations for wyylngdhul:</w:t>
      </w:r>
    </w:p>
    <w:p>
      <w:pPr>
        <w:numPr>
          <w:ilvl w:val="0"/>
          <w:numId w:val="1009"/>
        </w:numPr>
        <w:pStyle w:val="Compact"/>
      </w:pPr>
      <w:r>
        <w:rPr>
          <w:bCs/>
          <w:b/>
        </w:rPr>
        <w:t xml:space="preserve">Enhance Primary Data Collection:</w:t>
      </w:r>
      <w:r>
        <w:t xml:space="preserve"> </w:t>
      </w:r>
      <w:r>
        <w:t xml:space="preserve">Prioritize obtaining primary data for all material inputs, especially from European suppliers, and for actual energy consumption in the China-based manufacturing facility to further refine accuracy. This aligns with the GHG Protocol\'s 2026 emphasis on primary data for Scope 3.</w:t>
      </w:r>
    </w:p>
    <w:p>
      <w:pPr>
        <w:numPr>
          <w:ilvl w:val="0"/>
          <w:numId w:val="1009"/>
        </w:numPr>
        <w:pStyle w:val="Compact"/>
      </w:pPr>
      <w:r>
        <w:rPr>
          <w:bCs/>
          <w:b/>
        </w:rPr>
        <w:t xml:space="preserve">Material Optimization:</w:t>
      </w:r>
      <w:r>
        <w:t xml:space="preserve"> </w:t>
      </w:r>
      <w:r>
        <w:t xml:space="preserve">Explore opportunities for material substitution with lower-carbon alternatives or increased use of recycled content in components like aluminum and plastics.</w:t>
      </w:r>
    </w:p>
    <w:p>
      <w:pPr>
        <w:numPr>
          <w:ilvl w:val="0"/>
          <w:numId w:val="1009"/>
        </w:numPr>
        <w:pStyle w:val="Compact"/>
      </w:pPr>
      <w:r>
        <w:rPr>
          <w:bCs/>
          <w:b/>
        </w:rPr>
        <w:t xml:space="preserve">Energy Efficiency in Manufacturing:</w:t>
      </w:r>
      <w:r>
        <w:t xml:space="preserve"> </w:t>
      </w:r>
      <w:r>
        <w:t xml:space="preserve">Invest in energy-efficient manufacturing processes and expand renewable energy procurement at the production site in China to reduce Scope 2 emissions.</w:t>
      </w:r>
    </w:p>
    <w:p>
      <w:pPr>
        <w:numPr>
          <w:ilvl w:val="0"/>
          <w:numId w:val="1009"/>
        </w:numPr>
        <w:pStyle w:val="Compact"/>
      </w:pPr>
      <w:r>
        <w:rPr>
          <w:bCs/>
          <w:b/>
        </w:rPr>
        <w:t xml:space="preserve">Use Phase Decarbonization:</w:t>
      </w:r>
      <w:r>
        <w:t xml:space="preserve"> </w:t>
      </w:r>
      <w:r>
        <w:t xml:space="preserve">Design for even greater energy efficiency during the product\'s use phase to reduce user-related Scope 3 emissions. Educate end-users on energy-saving practices.</w:t>
      </w:r>
    </w:p>
    <w:p>
      <w:pPr>
        <w:numPr>
          <w:ilvl w:val="0"/>
          <w:numId w:val="1009"/>
        </w:numPr>
        <w:pStyle w:val="Compact"/>
      </w:pPr>
      <w:r>
        <w:rPr>
          <w:bCs/>
          <w:b/>
        </w:rPr>
        <w:t xml:space="preserve">Strengthen Circularity:</w:t>
      </w:r>
      <w:r>
        <w:t xml:space="preserve"> </w:t>
      </w:r>
      <w:r>
        <w:t xml:space="preserve">Continue to invest in and promote take-back and recycling programs (`udtiwqfugi`) to maximize the positive impact of product circularity and ensure that the high recyclability (`psgdxuimon`) is realized in practice.</w:t>
      </w:r>
    </w:p>
    <w:p>
      <w:pPr>
        <w:numPr>
          <w:ilvl w:val="0"/>
          <w:numId w:val="1009"/>
        </w:numPr>
        <w:pStyle w:val="Compact"/>
      </w:pPr>
      <w:r>
        <w:rPr>
          <w:bCs/>
          <w:b/>
        </w:rPr>
        <w:t xml:space="preserve">Supplier Engagement:</w:t>
      </w:r>
      <w:r>
        <w:t xml:space="preserve"> </w:t>
      </w:r>
      <w:r>
        <w:t xml:space="preserve">Engage with supply chain partners to obtain their PCF data or primary activity data to improve the accuracy of upstream Scope 3 emissions.</w:t>
      </w:r>
    </w:p>
    <w:p>
      <w:pPr>
        <w:pStyle w:val="FirstParagraph"/>
      </w:pPr>
      <w:r>
        <w:t xml:space="preserve">This report provides a robust baseline for</w:t>
      </w:r>
      <w:r>
        <w:t xml:space="preserve"> </w:t>
      </w:r>
      <w:r>
        <w:rPr>
          <w:bCs/>
          <w:b/>
        </w:rPr>
        <w:t xml:space="preserve">nqlmzunxlh</w:t>
      </w:r>
      <w:r>
        <w:t xml:space="preserve">\'s carbon footprint. By addressing the identified hotspots and implementing the recommendations,</w:t>
      </w:r>
      <w:r>
        <w:t xml:space="preserve"> </w:t>
      </w:r>
      <w:r>
        <w:rPr>
          <w:bCs/>
          <w:b/>
        </w:rPr>
        <w:t xml:space="preserve">wyylngdhul</w:t>
      </w:r>
      <w:r>
        <w:t xml:space="preserve"> </w:t>
      </w:r>
      <w:r>
        <w:t xml:space="preserve">can strategically reduce its environmental impact and demonstrate leadership in sustainability.</w:t>
      </w:r>
    </w:p>
    <w:p>
      <w:pPr>
        <w:pStyle w:val="BodyText"/>
      </w:pPr>
      <w:r>
        <w:t xml:space="preserve">Confidential - Internal Use Only</w:t>
      </w:r>
    </w:p>
    <w:p>
      <w:pPr>
        <w:pStyle w:val="BodyText"/>
      </w:pPr>
      <w:r>
        <w:t xml:space="preserve">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nqlmzunxlh</dc:title>
  <dc:creator/>
  <dc:description>High-detail Product Carbon Footprint (PCF) analysis report for product nqlmzunxlh by wyylngdhul, adhering to GHG Protocol standards and 2026 updates, conducted by Senior Sustainability Consultant drseydopsp.</dc:description>
  <dc:language>en</dc:language>
  <cp:keywords/>
  <dcterms:created xsi:type="dcterms:W3CDTF">2026-07-15T07:08:46Z</dcterms:created>
  <dcterms:modified xsi:type="dcterms:W3CDTF">2026-07-15T07:08:46Z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