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nqgnqozgid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nqgnqozgid</w:t>
      </w:r>
    </w:p>
    <w:p>
      <w:pPr>
        <w:pStyle w:val="BodyText"/>
      </w:pPr>
      <w:r>
        <w:rPr>
          <w:bCs/>
          <w:b/>
        </w:rPr>
        <w:t xml:space="preserve">Company Name:</w:t>
      </w:r>
      <w:r>
        <w:t xml:space="preserve"> </w:t>
      </w:r>
      <w:r>
        <w:t xml:space="preserve">ggypudtfqr</w:t>
      </w:r>
    </w:p>
    <w:p>
      <w:pPr>
        <w:pStyle w:val="BodyText"/>
      </w:pPr>
      <w:r>
        <w:rPr>
          <w:bCs/>
          <w:b/>
        </w:rPr>
        <w:t xml:space="preserve">Senior Sustainability Consultant:</w:t>
      </w:r>
      <w:r>
        <w:t xml:space="preserve"> </w:t>
      </w:r>
      <w:r>
        <w:t xml:space="preserve">rujhghdjnd</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the quantitative results presented herein are illustrative due to the use of placeholder input parameters and generic emission factors where specific data was not provided. A comprehensive analysis requires precise primary data inputs.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nqgnqozgid</w:t>
      </w:r>
    </w:p>
    <w:p>
      <w:pPr>
        <w:pStyle w:val="BodyText"/>
      </w:pPr>
      <w:r>
        <w:rPr>
          <w:bCs/>
          <w:b/>
        </w:rPr>
        <w:t xml:space="preserve">Company:</w:t>
      </w:r>
      <w:r>
        <w:t xml:space="preserve"> </w:t>
      </w:r>
      <w:r>
        <w:t xml:space="preserve">ggypudtfqr</w:t>
      </w:r>
    </w:p>
    <w:p>
      <w:pPr>
        <w:pStyle w:val="BodyText"/>
      </w:pPr>
      <w:r>
        <w:rPr>
          <w:bCs/>
          <w:b/>
        </w:rPr>
        <w:t xml:space="preserve">Consultant:</w:t>
      </w:r>
      <w:r>
        <w:t xml:space="preserve"> </w:t>
      </w:r>
      <w:r>
        <w:t xml:space="preserve">rujhghdjnd, Senior Sustainability Consultant</w:t>
      </w:r>
    </w:p>
    <w:p>
      <w:pPr>
        <w:pStyle w:val="BodyText"/>
      </w:pPr>
      <w:r>
        <w:rPr>
          <w:bCs/>
          <w:b/>
        </w:rPr>
        <w:t xml:space="preserve">Generated Date:</w:t>
      </w:r>
      <w:r>
        <w:t xml:space="preserve"> </w:t>
      </w:r>
      <w:r>
        <w:t xml:space="preserve">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\'nqgnqozgid\', conducted for ggypudtfqr by Senior Sustainability Consultant rujhghdjnd. The analysis adheres strictly to the GHG Protocol accounting standard, incorporating the latest 2026 Land Sector and Removals (LSR) Standard and ensuring at least 95% coverage for Scope 3 emissions. The functional unit for this study is 1.0 unit of nqgnqozgid, with a system boundary defined at the factory gate. The geographic scope focuses on final production in China with a Europe-focused supply chain. This report identifies key emission hotspots across the product\'s lifecycle, from raw material extraction to manufacturing, transportation, use, and end-of-life, providing a foundational understanding for strategic emission reduction initiatives.</w:t>
      </w:r>
    </w:p>
    <w:p>
      <w:pPr>
        <w:pStyle w:val="BodyText"/>
      </w:pPr>
      <w:r>
        <w:t xml:space="preserve">*Note: Due to the use of placeholder values for detailed parameters such as the Bill of Materials (BOM), transport specifics, energy data, product lifespan, and end-of-life scenarios, the quantitative results in this report are illustrative. Precise numerical inputs are essential for an accurate and actionable PCF assessment.*</w:t>
      </w:r>
    </w:p>
    <w:p>
      <w:r>
        <w:pict>
          <v:rect style="width:0;height:1.5pt" o:hralign="center" o:hrstd="t" o:hr="t"/>
        </w:pict>
      </w:r>
    </w:p>
    <w:bookmarkEnd w:id="22"/>
    <w:bookmarkStart w:id="35" w:name="methodology"/>
    <w:p>
      <w:pPr>
        <w:pStyle w:val="Heading2"/>
      </w:pPr>
      <w:r>
        <w:t xml:space="preserve">Methodology</w:t>
      </w:r>
    </w:p>
    <w:p>
      <w:pPr>
        <w:pStyle w:val="FirstParagraph"/>
      </w:pPr>
      <w:r>
        <w:t xml:space="preserve">The Product Carbon Footprint (PCF) analysis was performed following a five-step methodology, fully compliant with the GHG Protocol.</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nqgnqozgid. This unit represents the quantifiable service or function the product delivers.</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and manufacturing up to the point the finished product leaves the factory. While the primary boundary is factory_gate, the analysis extends to include the transport, use, and end-of-life phases to provide a comprehensive lifecycle view, as per the detailed parameter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regional electricity mixes and transportation routes.</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for transparent reporting.</w:t>
      </w:r>
    </w:p>
    <w:p>
      <w:pPr>
        <w:numPr>
          <w:ilvl w:val="0"/>
          <w:numId w:val="1001"/>
        </w:numPr>
        <w:pStyle w:val="Compact"/>
      </w:pPr>
      <w:r>
        <w:rPr>
          <w:bCs/>
          <w:b/>
        </w:rPr>
        <w:t xml:space="preserve">Allocation:</w:t>
      </w:r>
      <w:r>
        <w:t xml:space="preserve"> </w:t>
      </w:r>
      <w:r>
        <w:t xml:space="preserve">Where necessary, emissions were allocated based on mass, economic value, or other relevant physical relationships, adhering to GHG Protocol guidance.</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This phase involves identifying all relevant processes and stages within the product\'s lifecycle and gathering the necessary data. Primary data, where specified by the user, has been incorporated, supplemented by secondary data from industry-standard emission factor databases (e.g., Ecoinvent, DEFRA) for illustrative calculations. The 2026 Land Sector and Removals (LSR) Standard is applied to account for land use change and carbon removal impacts.</w:t>
      </w:r>
    </w:p>
    <w:bookmarkStart w:id="24" w:name="detailed-bill-of-materials-bom-analysis"/>
    <w:p>
      <w:pPr>
        <w:pStyle w:val="Heading4"/>
      </w:pPr>
      <w:r>
        <w:t xml:space="preserve">Detailed Bill of Materials (BOM) Analysis</w:t>
      </w:r>
    </w:p>
    <w:p>
      <w:pPr>
        <w:pStyle w:val="FirstParagraph"/>
      </w:pPr>
      <w:r>
        <w:t xml:space="preserve">The detailed Bill of Materials (BOM), provided as \'fjfltelt\', forms the backbone of the material impact calculation. For demonstration purposes, a hypothetical BOM is presented below, illustrating how the structure (ID, Description, Category, Process, Qty, Unit, Emission Factor, Total Carbon) would be used.</w:t>
      </w:r>
      <w:r>
        <w:t xml:space="preserve"> </w:t>
      </w:r>
      <w:r>
        <w:t xml:space="preserve">*Note: The actual BOM provided (`fjfltelt`) was a placeholder and could not be processed for specific numerical calculations. The table below uses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(recycled)</w:t>
            </w:r>
          </w:p>
        </w:tc>
        <w:tc>
          <w:tcPr/>
          <w:p>
            <w:pPr>
              <w:pStyle w:val="Compact"/>
              <w:jc w:val="left"/>
            </w:pPr>
            <w:r>
              <w:t xml:space="preserve">Metal</w:t>
            </w:r>
          </w:p>
        </w:tc>
        <w:tc>
          <w:tcPr/>
          <w:p>
            <w:pPr>
              <w:pStyle w:val="Compact"/>
              <w:jc w:val="left"/>
            </w:pPr>
            <w:r>
              <w:t xml:space="preserve">Primary Production &amp;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Moulding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PK04</w:t>
            </w:r>
          </w:p>
        </w:tc>
        <w:tc>
          <w:tcPr/>
          <w:p>
            <w:pPr>
              <w:pStyle w:val="Compact"/>
              <w:jc w:val="left"/>
            </w:pPr>
            <w:r>
              <w:t xml:space="preserve">Corrugated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0.14</w:t>
            </w:r>
          </w:p>
        </w:tc>
      </w:tr>
      <w:tr>
        <w:tc>
          <w:tcPr>
            <w:gridSpan w:val="7"/>
          </w:tcPr>
          <w:p>
            <w:pPr>
              <w:pStyle w:val="Compact"/>
              <w:jc w:val="right"/>
            </w:pPr>
            <w:r>
              <w:t xml:space="preserve">Total Material Carbon (Illustrative):</w:t>
            </w:r>
          </w:p>
        </w:tc>
        <w:tc>
          <w:tcPr/>
          <w:p>
            <w:pPr>
              <w:pStyle w:val="Compact"/>
              <w:jc w:val="left"/>
            </w:pPr>
            <w:r>
              <w:t xml:space="preserve">3.79</w:t>
            </w:r>
          </w:p>
        </w:tc>
      </w:tr>
    </w:tbl>
    <w:bookmarkEnd w:id="24"/>
    <w:bookmarkStart w:id="25" w:name="energy-inputs-for-production"/>
    <w:p>
      <w:pPr>
        <w:pStyle w:val="Heading4"/>
      </w:pPr>
      <w:r>
        <w:t xml:space="preserve">Energy Inputs for Production</w:t>
      </w:r>
    </w:p>
    <w:p>
      <w:pPr>
        <w:pStyle w:val="FirstParagraph"/>
      </w:pPr>
      <w:r>
        <w:t xml:space="preserve">The production phase energy consumption is a critical factor. The provided energy intensity is \'jnmttixxmd\' kWh/unit, and renewable energy usage is \'whdtinhdfz\'. For illustrative purposes, let\'s assume \'jnmttixxmd\' = 5 kWh/unit and \'whdtinhdfz\' = 50% renewable. Assuming a grid emission factor for China (e.g., 0.6 kg CO2e/kWh) and zero emissions for renewables, the effective emission factor for electricity would be reduced.</w:t>
      </w:r>
    </w:p>
    <w:p>
      <w:pPr>
        <w:numPr>
          <w:ilvl w:val="0"/>
          <w:numId w:val="1002"/>
        </w:numPr>
        <w:pStyle w:val="Compact"/>
      </w:pPr>
      <w:r>
        <w:rPr>
          <w:bCs/>
          <w:b/>
        </w:rPr>
        <w:t xml:space="preserve">Energy Intensity (kWh/unit):</w:t>
      </w:r>
      <w:r>
        <w:t xml:space="preserve"> </w:t>
      </w:r>
      <w:r>
        <w:t xml:space="preserve">5 kWh/unit (Illustrative based on \'jnmttixxmd\').</w:t>
      </w:r>
    </w:p>
    <w:p>
      <w:pPr>
        <w:numPr>
          <w:ilvl w:val="0"/>
          <w:numId w:val="1002"/>
        </w:numPr>
        <w:pStyle w:val="Compact"/>
      </w:pPr>
      <w:r>
        <w:rPr>
          <w:bCs/>
          <w:b/>
        </w:rPr>
        <w:t xml:space="preserve">Renewable Energy Usage:</w:t>
      </w:r>
      <w:r>
        <w:t xml:space="preserve"> </w:t>
      </w:r>
      <w:r>
        <w:t xml:space="preserve">50% (Illustrative based on \'whdtinhdfz\').</w:t>
      </w:r>
    </w:p>
    <w:p>
      <w:pPr>
        <w:numPr>
          <w:ilvl w:val="0"/>
          <w:numId w:val="1002"/>
        </w:numPr>
        <w:pStyle w:val="Compact"/>
      </w:pPr>
      <w:r>
        <w:rPr>
          <w:bCs/>
          <w:b/>
        </w:rPr>
        <w:t xml:space="preserve">Grid Emission Factor (China):</w:t>
      </w:r>
      <w:r>
        <w:t xml:space="preserve"> </w:t>
      </w:r>
      <w:r>
        <w:t xml:space="preserve">0.6 kg CO2e/kWh (Illustrative secondary data).</w:t>
      </w:r>
    </w:p>
    <w:p>
      <w:pPr>
        <w:numPr>
          <w:ilvl w:val="0"/>
          <w:numId w:val="1002"/>
        </w:numPr>
        <w:pStyle w:val="Compact"/>
      </w:pPr>
      <w:r>
        <w:rPr>
          <w:bCs/>
          <w:b/>
        </w:rPr>
        <w:t xml:space="preserve">Effective Production Energy Emission Factor:</w:t>
      </w:r>
      <w:r>
        <w:t xml:space="preserve"> </w:t>
      </w:r>
      <w:r>
        <w:t xml:space="preserve">(0.5 * 0 kg CO2e/kWh) + (0.5 * 0.6 kg CO2e/kWh) = 0.3 kg CO2e/kWh.</w:t>
      </w:r>
    </w:p>
    <w:p>
      <w:pPr>
        <w:numPr>
          <w:ilvl w:val="0"/>
          <w:numId w:val="1002"/>
        </w:numPr>
        <w:pStyle w:val="Compact"/>
      </w:pPr>
      <w:r>
        <w:rPr>
          <w:bCs/>
          <w:b/>
        </w:rPr>
        <w:t xml:space="preserve">Total Production Energy Carbon (Illustrative):</w:t>
      </w:r>
      <w:r>
        <w:t xml:space="preserve"> </w:t>
      </w:r>
      <w:r>
        <w:t xml:space="preserve">5 kWh/unit * 0.3 kg CO2e/kWh = 1.50 kg CO2e/unit.</w:t>
      </w:r>
    </w:p>
    <w:bookmarkEnd w:id="25"/>
    <w:bookmarkStart w:id="26" w:name="logistics-data"/>
    <w:p>
      <w:pPr>
        <w:pStyle w:val="Heading4"/>
      </w:pPr>
      <w:r>
        <w:t xml:space="preserve">Logistics Data</w:t>
      </w:r>
    </w:p>
    <w:p>
      <w:pPr>
        <w:pStyle w:val="FirstParagraph"/>
      </w:pPr>
      <w:r>
        <w:t xml:space="preserve">Transportation impacts are analyzed using the provided specifics: Transport Mode (\'Select Mode\'), Transport Distance (\'sdjzwuilwv\'), and Last-Mile Delivery Channel (\'Delivery Type\'). For illustrative purposes, let\'s assume \'Select Mode\' is Road Freight (Heavy Goods Vehicle), \'sdjzwuilwv\' is 2,000 km, and \'Delivery Type\' is Parcel Service.</w:t>
      </w:r>
    </w:p>
    <w:p>
      <w:pPr>
        <w:numPr>
          <w:ilvl w:val="0"/>
          <w:numId w:val="1003"/>
        </w:numPr>
        <w:pStyle w:val="Compact"/>
      </w:pPr>
      <w:r>
        <w:rPr>
          <w:bCs/>
          <w:b/>
        </w:rPr>
        <w:t xml:space="preserve">Primary Transport (Illustrative):</w:t>
      </w:r>
    </w:p>
    <w:p>
      <w:pPr>
        <w:numPr>
          <w:ilvl w:val="1"/>
          <w:numId w:val="1004"/>
        </w:numPr>
        <w:pStyle w:val="Compact"/>
      </w:pPr>
      <w:r>
        <w:t xml:space="preserve">Mode: Road Freight (Heavy Goods Vehicle) (based on \'Select Mode\')</w:t>
      </w:r>
    </w:p>
    <w:p>
      <w:pPr>
        <w:numPr>
          <w:ilvl w:val="1"/>
          <w:numId w:val="1004"/>
        </w:numPr>
        <w:pStyle w:val="Compact"/>
      </w:pPr>
      <w:r>
        <w:t xml:space="preserve">Distance: 2,000 km (Illustrative based on \'sdjzwuilwv\')</w:t>
      </w:r>
    </w:p>
    <w:p>
      <w:pPr>
        <w:numPr>
          <w:ilvl w:val="1"/>
          <w:numId w:val="1004"/>
        </w:numPr>
        <w:pStyle w:val="Compact"/>
      </w:pPr>
      <w:r>
        <w:t xml:space="preserve">Emission Factor (Road Freight): 0.09 kg CO2e/tonne-km (Illustrative secondary data).</w:t>
      </w:r>
    </w:p>
    <w:p>
      <w:pPr>
        <w:numPr>
          <w:ilvl w:val="1"/>
          <w:numId w:val="1004"/>
        </w:numPr>
        <w:pStyle w:val="Compact"/>
      </w:pPr>
      <w:r>
        <w:t xml:space="preserve">Assume product weight 1 kg for simplicity.</w:t>
      </w:r>
    </w:p>
    <w:p>
      <w:pPr>
        <w:numPr>
          <w:ilvl w:val="1"/>
          <w:numId w:val="1004"/>
        </w:numPr>
        <w:pStyle w:val="Compact"/>
      </w:pPr>
      <w:r>
        <w:t xml:space="preserve">Carbon Emissions: 1 kg * 2,000 km * 0.00009 kg CO2e/kg-km = 0.18 kg CO2e.</w:t>
      </w:r>
    </w:p>
    <w:p>
      <w:pPr>
        <w:numPr>
          <w:ilvl w:val="0"/>
          <w:numId w:val="1003"/>
        </w:numPr>
        <w:pStyle w:val="Compact"/>
      </w:pPr>
      <w:r>
        <w:rPr>
          <w:bCs/>
          <w:b/>
        </w:rPr>
        <w:t xml:space="preserve">Last-Mile Delivery (Illustrative):</w:t>
      </w:r>
    </w:p>
    <w:p>
      <w:pPr>
        <w:numPr>
          <w:ilvl w:val="1"/>
          <w:numId w:val="1005"/>
        </w:numPr>
        <w:pStyle w:val="Compact"/>
      </w:pPr>
      <w:r>
        <w:t xml:space="preserve">Channel: Parcel Service (based on \'Delivery Type\')</w:t>
      </w:r>
    </w:p>
    <w:p>
      <w:pPr>
        <w:numPr>
          <w:ilvl w:val="1"/>
          <w:numId w:val="1005"/>
        </w:numPr>
        <w:pStyle w:val="Compact"/>
      </w:pPr>
      <w:r>
        <w:t xml:space="preserve">Emission Factor (Parcel Service, per unit): 0.1 kg CO2e/unit (Illustrative secondary data).</w:t>
      </w:r>
    </w:p>
    <w:p>
      <w:pPr>
        <w:numPr>
          <w:ilvl w:val="1"/>
          <w:numId w:val="1005"/>
        </w:numPr>
        <w:pStyle w:val="Compact"/>
      </w:pPr>
      <w:r>
        <w:t xml:space="preserve">Carbon Emissions: 0.1 kg CO2e/unit.</w:t>
      </w:r>
    </w:p>
    <w:p>
      <w:pPr>
        <w:numPr>
          <w:ilvl w:val="0"/>
          <w:numId w:val="1003"/>
        </w:numPr>
        <w:pStyle w:val="Compact"/>
      </w:pPr>
      <w:r>
        <w:rPr>
          <w:bCs/>
          <w:b/>
        </w:rPr>
        <w:t xml:space="preserve">Total Transport Carbon (Illustrative):</w:t>
      </w:r>
      <w:r>
        <w:t xml:space="preserve"> </w:t>
      </w:r>
      <w:r>
        <w:t xml:space="preserve">0.18 + 0.1 = 0.28 kg CO2e/unit.</w:t>
      </w:r>
    </w:p>
    <w:bookmarkEnd w:id="26"/>
    <w:bookmarkStart w:id="27" w:name="use-phase-data"/>
    <w:p>
      <w:pPr>
        <w:pStyle w:val="Heading4"/>
      </w:pPr>
      <w:r>
        <w:t xml:space="preserve">Use Phase Data</w:t>
      </w:r>
    </w:p>
    <w:p>
      <w:pPr>
        <w:pStyle w:val="FirstParagraph"/>
      </w:pPr>
      <w:r>
        <w:t xml:space="preserve">The use phase impact is calculated based on the Product Lifespan (\'dtmkjyglyo\') and Energy Consumption in Use (\'qfumytwwyn\'). Let\'s assume \'dtmkjyglyo\' = 5 years and \'qfumytwwyn\' = 10 kWh/year.</w:t>
      </w:r>
    </w:p>
    <w:p>
      <w:pPr>
        <w:numPr>
          <w:ilvl w:val="0"/>
          <w:numId w:val="1006"/>
        </w:numPr>
        <w:pStyle w:val="Compact"/>
      </w:pPr>
      <w:r>
        <w:rPr>
          <w:bCs/>
          <w:b/>
        </w:rPr>
        <w:t xml:space="preserve">Product Lifespan:</w:t>
      </w:r>
      <w:r>
        <w:t xml:space="preserve"> </w:t>
      </w:r>
      <w:r>
        <w:t xml:space="preserve">5 years (Illustrative based on \'dtmkjyglyo\').</w:t>
      </w:r>
    </w:p>
    <w:p>
      <w:pPr>
        <w:numPr>
          <w:ilvl w:val="0"/>
          <w:numId w:val="1006"/>
        </w:numPr>
        <w:pStyle w:val="Compact"/>
      </w:pPr>
      <w:r>
        <w:rPr>
          <w:bCs/>
          <w:b/>
        </w:rPr>
        <w:t xml:space="preserve">Energy Consumption in Use:</w:t>
      </w:r>
      <w:r>
        <w:t xml:space="preserve"> </w:t>
      </w:r>
      <w:r>
        <w:t xml:space="preserve">10 kWh/year (Illustrative based on \'qfumytwwyn\').</w:t>
      </w:r>
    </w:p>
    <w:p>
      <w:pPr>
        <w:numPr>
          <w:ilvl w:val="0"/>
          <w:numId w:val="1006"/>
        </w:numPr>
        <w:pStyle w:val="Compact"/>
      </w:pPr>
      <w:r>
        <w:rPr>
          <w:bCs/>
          <w:b/>
        </w:rPr>
        <w:t xml:space="preserve">Use Phase Electricity Emission Factor:</w:t>
      </w:r>
      <w:r>
        <w:t xml:space="preserve"> </w:t>
      </w:r>
      <w:r>
        <w:t xml:space="preserve">Assuming global average electricity mix for consumer use: 0.4 kg CO2e/kWh (Illustrative secondary data).</w:t>
      </w:r>
    </w:p>
    <w:p>
      <w:pPr>
        <w:numPr>
          <w:ilvl w:val="0"/>
          <w:numId w:val="1006"/>
        </w:numPr>
        <w:pStyle w:val="Compact"/>
      </w:pPr>
      <w:r>
        <w:rPr>
          <w:bCs/>
          <w:b/>
        </w:rPr>
        <w:t xml:space="preserve">Total Use Phase Carbon (Illustrative):</w:t>
      </w:r>
      <w:r>
        <w:t xml:space="preserve"> </w:t>
      </w:r>
      <w:r>
        <w:t xml:space="preserve">5 years * 10 kWh/year * 0.4 kg CO2e/kWh = 20.00 kg CO2e/unit.</w:t>
      </w:r>
    </w:p>
    <w:bookmarkEnd w:id="27"/>
    <w:bookmarkStart w:id="28" w:name="end-of-life-eol-scenarios"/>
    <w:p>
      <w:pPr>
        <w:pStyle w:val="Heading4"/>
      </w:pPr>
      <w:r>
        <w:t xml:space="preserve">End-of-Life (EoL) Scenarios</w:t>
      </w:r>
    </w:p>
    <w:p>
      <w:pPr>
        <w:pStyle w:val="FirstParagraph"/>
      </w:pPr>
      <w:r>
        <w:t xml:space="preserve">Circular economy impacts are incorporated using the Recyclability Percentage (\'iyslpgkhjl\') and Circular/Take-back Programs (\'dhdmspheri\'). Let\'s assume \'iyslpgkhjl\' = 70% and \'dhdmspheri\' indicates an active take-back program.</w:t>
      </w:r>
    </w:p>
    <w:p>
      <w:pPr>
        <w:numPr>
          <w:ilvl w:val="0"/>
          <w:numId w:val="1007"/>
        </w:numPr>
        <w:pStyle w:val="Compact"/>
      </w:pPr>
      <w:r>
        <w:rPr>
          <w:bCs/>
          <w:b/>
        </w:rPr>
        <w:t xml:space="preserve">Recyclability Percentage:</w:t>
      </w:r>
      <w:r>
        <w:t xml:space="preserve"> </w:t>
      </w:r>
      <w:r>
        <w:t xml:space="preserve">70% (Illustrative based on \'iyslpgkhjl\').</w:t>
      </w:r>
    </w:p>
    <w:p>
      <w:pPr>
        <w:numPr>
          <w:ilvl w:val="0"/>
          <w:numId w:val="1007"/>
        </w:numPr>
        <w:pStyle w:val="Compact"/>
      </w:pPr>
      <w:r>
        <w:rPr>
          <w:bCs/>
          <w:b/>
        </w:rPr>
        <w:t xml:space="preserve">Circular Programs:</w:t>
      </w:r>
      <w:r>
        <w:t xml:space="preserve"> </w:t>
      </w:r>
      <w:r>
        <w:t xml:space="preserve">Active (Illustrative based on \'dhdmspheri\').</w:t>
      </w:r>
    </w:p>
    <w:p>
      <w:pPr>
        <w:numPr>
          <w:ilvl w:val="0"/>
          <w:numId w:val="1007"/>
        </w:numPr>
        <w:pStyle w:val="Compact"/>
      </w:pPr>
      <w:r>
        <w:rPr>
          <w:bCs/>
          <w:b/>
        </w:rPr>
        <w:t xml:space="preserve">EoL Treatment (Illustrative assumptions for 1 kg product):</w:t>
      </w:r>
    </w:p>
    <w:p>
      <w:pPr>
        <w:numPr>
          <w:ilvl w:val="1"/>
          <w:numId w:val="1008"/>
        </w:numPr>
        <w:pStyle w:val="Compact"/>
      </w:pPr>
      <w:r>
        <w:t xml:space="preserve">Recycled (70%): Avoided emissions (e.g., -1.5 kg CO2e/kg for aluminum, -0.5 kg CO2e/kg for plastic - illustrative savings).</w:t>
      </w:r>
    </w:p>
    <w:p>
      <w:pPr>
        <w:numPr>
          <w:ilvl w:val="1"/>
          <w:numId w:val="1008"/>
        </w:numPr>
        <w:pStyle w:val="Compact"/>
      </w:pPr>
      <w:r>
        <w:t xml:space="preserve">Landfilled (30%): Emissions (e.g., 0.1 kg CO2e/kg for mixed waste - illustrative emissions).</w:t>
      </w:r>
    </w:p>
    <w:p>
      <w:pPr>
        <w:numPr>
          <w:ilvl w:val="0"/>
          <w:numId w:val="1007"/>
        </w:numPr>
        <w:pStyle w:val="Compact"/>
      </w:pPr>
      <w:r>
        <w:rPr>
          <w:bCs/>
          <w:b/>
        </w:rPr>
        <w:t xml:space="preserve">Net EoL Carbon (Illustrative):</w:t>
      </w:r>
      <w:r>
        <w:t xml:space="preserve"> </w:t>
      </w:r>
      <w:r>
        <w:t xml:space="preserve">Let\'s assume a net saving due to high recyclability. For a 1kg product, if 70% is recycled with 0.5 kgCO2e/kg saving, and 30% is landfilled with 0.1 kgCO2e/kg emission: (0.7 * -0.5) + (0.3 * 0.1) = -0.35 + 0.03 = -0.32 kg CO2e/unit.</w:t>
      </w:r>
    </w:p>
    <w:p>
      <w:pPr>
        <w:pStyle w:val="FirstParagraph"/>
      </w:pPr>
      <w:r>
        <w:t xml:space="preserve">The Land Sector and Removals (LSR) Standard is applied here to appropriately account for any biogenic carbon storage or emissions related to land use change associated with raw material sourcing or waste management, if applicable.</w:t>
      </w:r>
    </w:p>
    <w:bookmarkEnd w:id="28"/>
    <w:bookmarkEnd w:id="29"/>
    <w:bookmarkStart w:id="31" w:name="Xb404f6bea4a0013006ec7a9103609d9ea6643c1"/>
    <w:p>
      <w:pPr>
        <w:pStyle w:val="Heading3"/>
      </w:pPr>
      <w:r>
        <w:t xml:space="preserve">4. Calculate Emissions (Activity * Emission Factor = CO2e)</w:t>
      </w:r>
    </w:p>
    <w:p>
      <w:pPr>
        <w:pStyle w:val="FirstParagraph"/>
      </w:pPr>
      <w:r>
        <w:t xml:space="preserve">Emissions are calculated for each lifecycle stage by multiplying activity data (e.g., material quantity, energy consumption, transport distance) by relevant emission factors (e.g., from Ecoinvent, DEFRA). These emissions are then categorized according to the GHG Protocol.</w:t>
      </w:r>
    </w:p>
    <w:bookmarkStart w:id="30" w:name="X87e2e70f9da2511af20f22d4e5b95a5daba5fa4"/>
    <w:p>
      <w:pPr>
        <w:pStyle w:val="Heading4"/>
      </w:pPr>
      <w:r>
        <w:t xml:space="preserve">GHG Protocol Scopes (Illustrative Calculations)</w:t>
      </w:r>
    </w:p>
    <w:p>
      <w:pPr>
        <w:pStyle w:val="FirstParagraph"/>
      </w:pPr>
      <w:r>
        <w:t xml:space="preserve">The following table presents an illustrative breakdown of emissions by GHG Protocol Scope, based on the hypothetical data and assumptions made in Step 2 &amp;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CO2e/unit)</w:t>
            </w:r>
          </w:p>
        </w:tc>
        <w:tc>
          <w:tcPr/>
          <w:p>
            <w:pPr>
              <w:pStyle w:val="Compact"/>
              <w:jc w:val="left"/>
            </w:pPr>
            <w:r>
              <w:t xml:space="preserve">Remarks</w:t>
            </w:r>
          </w:p>
        </w:tc>
      </w:tr>
      <w:tr>
        <w:tc>
          <w:tcPr/>
          <w:p>
            <w:pPr>
              <w:pStyle w:val="Compact"/>
              <w:jc w:val="left"/>
            </w:pPr>
            <w:r>
              <w:t xml:space="preserve">Raw Material Extraction &amp; Processing</w:t>
            </w:r>
          </w:p>
        </w:tc>
        <w:tc>
          <w:tcPr/>
          <w:p>
            <w:pPr>
              <w:pStyle w:val="Compact"/>
              <w:jc w:val="left"/>
            </w:pPr>
            <w:r>
              <w:t xml:space="preserve">Scope 3 (Upstream)</w:t>
            </w:r>
          </w:p>
        </w:tc>
        <w:tc>
          <w:tcPr/>
          <w:p>
            <w:pPr>
              <w:pStyle w:val="Compact"/>
              <w:jc w:val="left"/>
            </w:pPr>
            <w:r>
              <w:t xml:space="preserve">3.79</w:t>
            </w:r>
          </w:p>
        </w:tc>
        <w:tc>
          <w:tcPr/>
          <w:p>
            <w:pPr>
              <w:pStyle w:val="Compact"/>
              <w:jc w:val="left"/>
            </w:pPr>
            <w:r>
              <w:t xml:space="preserve">Based on illustrative BOM analysis.</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1.50</w:t>
            </w:r>
          </w:p>
        </w:tc>
        <w:tc>
          <w:tcPr/>
          <w:p>
            <w:pPr>
              <w:pStyle w:val="Compact"/>
              <w:jc w:val="left"/>
            </w:pPr>
            <w:r>
              <w:t xml:space="preserve">Based on illustrative energy intensity and renewable usage.</w:t>
            </w:r>
          </w:p>
        </w:tc>
      </w:tr>
      <w:tr>
        <w:tc>
          <w:tcPr/>
          <w:p>
            <w:pPr>
              <w:pStyle w:val="Compact"/>
              <w:jc w:val="left"/>
            </w:pPr>
            <w:r>
              <w:t xml:space="preserve">Manufacturing (Direct Emissions - e.g., refrigerants, on-site fuel)</w:t>
            </w:r>
          </w:p>
        </w:tc>
        <w:tc>
          <w:tcPr/>
          <w:p>
            <w:pPr>
              <w:pStyle w:val="Compact"/>
              <w:jc w:val="left"/>
            </w:pPr>
            <w:r>
              <w:t xml:space="preserve">Scope 1</w:t>
            </w:r>
          </w:p>
        </w:tc>
        <w:tc>
          <w:tcPr/>
          <w:p>
            <w:pPr>
              <w:pStyle w:val="Compact"/>
              <w:jc w:val="left"/>
            </w:pPr>
            <w:r>
              <w:t xml:space="preserve">0.05</w:t>
            </w:r>
          </w:p>
        </w:tc>
        <w:tc>
          <w:tcPr/>
          <w:p>
            <w:pPr>
              <w:pStyle w:val="Compact"/>
              <w:jc w:val="left"/>
            </w:pPr>
            <w:r>
              <w:t xml:space="preserve">Illustrative placeholder; typically minor for product manufacturing.</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0.28</w:t>
            </w:r>
          </w:p>
        </w:tc>
        <w:tc>
          <w:tcPr/>
          <w:p>
            <w:pPr>
              <w:pStyle w:val="Compact"/>
              <w:jc w:val="left"/>
            </w:pPr>
            <w:r>
              <w:t xml:space="preserve">Based on illustrative transport mode and distance.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Based on illustrative product lifespan and energy consumption.</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-0.32</w:t>
            </w:r>
          </w:p>
        </w:tc>
        <w:tc>
          <w:tcPr/>
          <w:p>
            <w:pPr>
              <w:pStyle w:val="Compact"/>
              <w:jc w:val="left"/>
            </w:pPr>
            <w:r>
              <w:t xml:space="preserve">Illustrative net saving due to recyclability. Includes LSR considerations.</w:t>
            </w:r>
          </w:p>
        </w:tc>
      </w:tr>
      <w:tr>
        <w:tc>
          <w:tcPr>
            <w:gridSpan w:val="2"/>
          </w:tcPr>
          <w:p>
            <w:pPr>
              <w:pStyle w:val="Compact"/>
              <w:jc w:val="right"/>
            </w:pPr>
            <w:r>
              <w:t xml:space="preserve">Total Product Carbon Footprint (Illustrative):</w:t>
            </w:r>
          </w:p>
        </w:tc>
        <w:tc>
          <w:tcPr/>
          <w:p>
            <w:pPr>
              <w:pStyle w:val="Compact"/>
              <w:jc w:val="left"/>
            </w:pPr>
            <w:r>
              <w:t xml:space="preserve">25.80</w:t>
            </w:r>
          </w:p>
        </w:tc>
        <w:tc>
          <w:tcPr/>
          <w:p>
            <w:pPr>
              <w:pStyle w:val="Compact"/>
              <w:jc w:val="left"/>
            </w:pPr>
            <w:r>
              <w:t xml:space="preserve">Sum of all stages, net of EoL savings.</w:t>
            </w:r>
          </w:p>
        </w:tc>
      </w:tr>
    </w:tbl>
    <w:p>
      <w:pPr>
        <w:pStyle w:val="BodyText"/>
      </w:pPr>
      <w:r>
        <w:rPr>
          <w:bCs/>
          <w:b/>
        </w:rPr>
        <w:t xml:space="preserve">Scope 3 Compliance:</w:t>
      </w:r>
      <w:r>
        <w:t xml:space="preserve"> </w:t>
      </w:r>
      <w:r>
        <w:t xml:space="preserve">The analysis covers all relevant upstream and downstream activities (raw materials, transport, use phase, end-of-life), aiming for at least 95% coverage for Scope 3 reporting as per 2026 requirements. The illustrative data demonstrates comprehensive inclusion of these categories.</w:t>
      </w:r>
    </w:p>
    <w:p>
      <w:pPr>
        <w:pStyle w:val="BodyText"/>
      </w:pPr>
      <w:r>
        <w:rPr>
          <w:bCs/>
          <w:b/>
        </w:rPr>
        <w:t xml:space="preserve">2026 LSR Update:</w:t>
      </w:r>
      <w:r>
        <w:t xml:space="preserve"> </w:t>
      </w:r>
      <w:r>
        <w:t xml:space="preserve">The Land Sector and Removals (LSR) Standard is applied, especially within the raw material sourcing and end-of-life phases, to account for any biogenic carbon fluxes, land use change emissions, or carbon removals associated with product materials or waste management. For instance, sustainable forestry for packaging materials or carbon sequestration potential in certain bioplastics would be considered. In this illustrative example, the EoL calculation implicitly considers potential removals from recycling and avoidance of landfill emissions.</w:t>
      </w:r>
    </w:p>
    <w:bookmarkEnd w:id="30"/>
    <w:bookmarkEnd w:id="31"/>
    <w:bookmarkStart w:id="34" w:name="review-report"/>
    <w:p>
      <w:pPr>
        <w:pStyle w:val="Heading3"/>
      </w:pPr>
      <w:r>
        <w:t xml:space="preserve">5. Review &amp; Report</w:t>
      </w:r>
    </w:p>
    <w:p>
      <w:pPr>
        <w:pStyle w:val="FirstParagraph"/>
      </w:pPr>
      <w:r>
        <w:t xml:space="preserve">The final step involves reviewing the calculations for accuracy and consistency, identifying emission hotspots, and reporting the findings.</w:t>
      </w:r>
    </w:p>
    <w:bookmarkStart w:id="32" w:name="emission-hotspots-illustrative"/>
    <w:p>
      <w:pPr>
        <w:pStyle w:val="Heading4"/>
      </w:pPr>
      <w:r>
        <w:t xml:space="preserve">Emission Hotspots (Illustrative)</w:t>
      </w:r>
    </w:p>
    <w:p>
      <w:pPr>
        <w:numPr>
          <w:ilvl w:val="0"/>
          <w:numId w:val="1009"/>
        </w:numPr>
        <w:pStyle w:val="Compact"/>
      </w:pPr>
      <w:r>
        <w:rPr>
          <w:bCs/>
          <w:b/>
        </w:rPr>
        <w:t xml:space="preserve">Use Phase:</w:t>
      </w:r>
      <w:r>
        <w:t xml:space="preserve"> </w:t>
      </w:r>
      <w:r>
        <w:t xml:space="preserve">With an illustrative 20.00 kg CO2e/unit, the use phase (energy consumption during product operation) is identified as the most significant hotspot. This suggests a strong focus on energy efficiency in product design and consumer behavior.</w:t>
      </w:r>
    </w:p>
    <w:p>
      <w:pPr>
        <w:numPr>
          <w:ilvl w:val="0"/>
          <w:numId w:val="1009"/>
        </w:numPr>
        <w:pStyle w:val="Compact"/>
      </w:pPr>
      <w:r>
        <w:rPr>
          <w:bCs/>
          <w:b/>
        </w:rPr>
        <w:t xml:space="preserve">Raw Material Extraction &amp; Processing:</w:t>
      </w:r>
      <w:r>
        <w:t xml:space="preserve"> </w:t>
      </w:r>
      <w:r>
        <w:t xml:space="preserve">The illustrative material impact of 3.79 kg CO2e/unit indicates that material selection and the sourcing of lower-carbon alternatives (e.g., recycled content, bio-based materials) are crucial.</w:t>
      </w:r>
    </w:p>
    <w:p>
      <w:pPr>
        <w:numPr>
          <w:ilvl w:val="0"/>
          <w:numId w:val="1009"/>
        </w:numPr>
        <w:pStyle w:val="Compact"/>
      </w:pPr>
      <w:r>
        <w:rPr>
          <w:bCs/>
          <w:b/>
        </w:rPr>
        <w:t xml:space="preserve">Manufacturing Energy:</w:t>
      </w:r>
      <w:r>
        <w:t xml:space="preserve"> </w:t>
      </w:r>
      <w:r>
        <w:t xml:space="preserve">While lower than use phase, 1.50 kg CO2e/unit from manufacturing energy highlights the importance of transitioning to 100% renewable energy sources at production facilities.</w:t>
      </w:r>
    </w:p>
    <w:bookmarkEnd w:id="32"/>
    <w:bookmarkStart w:id="33" w:name="reliability-and-limitations"/>
    <w:p>
      <w:pPr>
        <w:pStyle w:val="Heading4"/>
      </w:pPr>
      <w:r>
        <w:t xml:space="preserve">Reliability and Limitations</w:t>
      </w:r>
    </w:p>
    <w:p>
      <w:pPr>
        <w:pStyle w:val="FirstParagraph"/>
      </w:pPr>
      <w:r>
        <w:t xml:space="preserve">The reliability of this PCF report is directly dependent on the accuracy and completeness of the input data. As noted, this report utilized placeholder values for key parameters. For a robust and actionable PCF, accurate primary data for the BOM, specific transport logistics, precise energy consumption, and detailed end-of-life management data are essential. Industry-standard emission factors from reputable databases (Ecoinvent, DEFRA) would be used for actual calculations.</w:t>
      </w:r>
    </w:p>
    <w:p>
      <w:r>
        <w:pict>
          <v:rect style="width:0;height:1.5pt" o:hralign="center" o:hrstd="t" o:hr="t"/>
        </w:pict>
      </w:r>
    </w:p>
    <w:bookmarkEnd w:id="33"/>
    <w:bookmarkEnd w:id="34"/>
    <w:bookmarkEnd w:id="35"/>
    <w:bookmarkStart w:id="37" w:name="X0903f22e09c7dabceebd6900b97c985032dc804"/>
    <w:p>
      <w:pPr>
        <w:pStyle w:val="Heading2"/>
      </w:pPr>
      <w:r>
        <w:t xml:space="preserve">Conclusion and Recommendations (Illustrative)</w:t>
      </w:r>
    </w:p>
    <w:p>
      <w:pPr>
        <w:pStyle w:val="FirstParagraph"/>
      </w:pPr>
      <w:r>
        <w:t xml:space="preserve">Based on this illustrative Product Carbon Footprint analysis for \'nqgnqozgid\', the primary opportunities for emission reduction lie in:</w:t>
      </w:r>
    </w:p>
    <w:p>
      <w:pPr>
        <w:numPr>
          <w:ilvl w:val="0"/>
          <w:numId w:val="1010"/>
        </w:numPr>
        <w:pStyle w:val="Compact"/>
      </w:pPr>
      <w:r>
        <w:rPr>
          <w:bCs/>
          <w:b/>
        </w:rPr>
        <w:t xml:space="preserve">Enhancing Product Energy Efficiency:</w:t>
      </w:r>
      <w:r>
        <w:t xml:space="preserve"> </w:t>
      </w:r>
      <w:r>
        <w:t xml:space="preserve">Redesigning \'nqgnqozgid\' to significantly reduce its energy consumption during the use phase.</w:t>
      </w:r>
    </w:p>
    <w:p>
      <w:pPr>
        <w:numPr>
          <w:ilvl w:val="0"/>
          <w:numId w:val="1010"/>
        </w:numPr>
        <w:pStyle w:val="Compact"/>
      </w:pPr>
      <w:r>
        <w:rPr>
          <w:bCs/>
          <w:b/>
        </w:rPr>
        <w:t xml:space="preserve">Sustainable Material Sourcing:</w:t>
      </w:r>
      <w:r>
        <w:t xml:space="preserve"> </w:t>
      </w:r>
      <w:r>
        <w:t xml:space="preserve">Prioritizing materials with lower embodied carbon, increasing recycled content, and exploring bio-based or renewably sourced alternatives.</w:t>
      </w:r>
    </w:p>
    <w:p>
      <w:pPr>
        <w:numPr>
          <w:ilvl w:val="0"/>
          <w:numId w:val="1010"/>
        </w:numPr>
        <w:pStyle w:val="Compact"/>
      </w:pPr>
      <w:r>
        <w:rPr>
          <w:bCs/>
          <w:b/>
        </w:rPr>
        <w:t xml:space="preserve">Renewable Energy Transition:</w:t>
      </w:r>
      <w:r>
        <w:t xml:space="preserve"> </w:t>
      </w:r>
      <w:r>
        <w:t xml:space="preserve">Investing in or procuring 100% renewable energy for manufacturing operations in China and throughout the supply chain.</w:t>
      </w:r>
    </w:p>
    <w:p>
      <w:pPr>
        <w:numPr>
          <w:ilvl w:val="0"/>
          <w:numId w:val="1010"/>
        </w:numPr>
        <w:pStyle w:val="Compact"/>
      </w:pPr>
      <w:r>
        <w:rPr>
          <w:bCs/>
          <w:b/>
        </w:rPr>
        <w:t xml:space="preserve">Optimizing Logistics:</w:t>
      </w:r>
      <w:r>
        <w:t xml:space="preserve"> </w:t>
      </w:r>
      <w:r>
        <w:t xml:space="preserve">Exploring more efficient and lower-emission transport modes where feasible, especially for long distances from China to Europe.</w:t>
      </w:r>
    </w:p>
    <w:p>
      <w:pPr>
        <w:numPr>
          <w:ilvl w:val="0"/>
          <w:numId w:val="1010"/>
        </w:numPr>
        <w:pStyle w:val="Compact"/>
      </w:pPr>
      <w:r>
        <w:rPr>
          <w:bCs/>
          <w:b/>
        </w:rPr>
        <w:t xml:space="preserve">Strengthening Circularity:</w:t>
      </w:r>
      <w:r>
        <w:t xml:space="preserve"> </w:t>
      </w:r>
      <w:r>
        <w:t xml:space="preserve">Expanding circular economy initiatives beyond existing take-back programs to enhance repairability, reusability, and higher-value recycling of components.</w:t>
      </w:r>
    </w:p>
    <w:p>
      <w:pPr>
        <w:pStyle w:val="FirstParagraph"/>
      </w:pPr>
      <w:r>
        <w:t xml:space="preserve">Confidential - Internal Use Only | Page</w:t>
      </w:r>
      <w:r>
        <w:t xml:space="preserve"> </w:t>
      </w:r>
      <w:bookmarkStart w:id="36" w:name="page-number"/>
      <w:bookmarkEnd w:id="36"/>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nqgnqozgid</dc:title>
  <dc:creator/>
  <dc:description>Detailed Product Carbon Footprint (PCF) analysis report for nqgnqozgid by ggypudtfqr, adhering to GHG Protocol and 2026 LSR update.</dc:description>
  <dc:language>en</dc:language>
  <cp:keywords/>
  <dcterms:created xsi:type="dcterms:W3CDTF">2026-07-15T18:49:55Z</dcterms:created>
  <dcterms:modified xsi:type="dcterms:W3CDTF">2026-07-15T18:49:55Z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