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mxzmgdvnwl</w:t>
      </w:r>
    </w:p>
    <w:p>
      <w:pPr>
        <w:pStyle w:val="FirstParagraph"/>
      </w:pPr>
      <w:r>
        <w:t xml:space="preserve">carboncalcpcf.com</w:t>
      </w:r>
    </w:p>
    <w:bookmarkStart w:id="21" w:name="Xf2e6ab5be446359d80f42f50d41e46314dfe19d"/>
    <w:p>
      <w:pPr>
        <w:pStyle w:val="Heading1"/>
      </w:pPr>
      <w:r>
        <w:t xml:space="preserve">Product Carbon Footprint (PCF) Analysis Report</w:t>
      </w:r>
    </w:p>
    <w:bookmarkStart w:id="20" w:name="product-mxzmgdvnwl"/>
    <w:p>
      <w:pPr>
        <w:pStyle w:val="Heading2"/>
      </w:pPr>
      <w:r>
        <w:t xml:space="preserve">Product: mxzmgdvnwl</w:t>
      </w:r>
    </w:p>
    <w:p>
      <w:pPr>
        <w:pStyle w:val="FirstParagraph"/>
      </w:pPr>
      <w:r>
        <w:t xml:space="preserve">For: jzmklypkep</w:t>
      </w:r>
    </w:p>
    <w:p>
      <w:pPr>
        <w:pStyle w:val="BodyText"/>
      </w:pPr>
      <w:r>
        <w:t xml:space="preserve">Senior Sustainability Consultant: onnlnxhpup</w:t>
      </w:r>
    </w:p>
    <w:p>
      <w:pPr>
        <w:pStyle w:val="BodyText"/>
      </w:pPr>
      <w:r>
        <w:t xml:space="preserve">Protocol Data (Accounting Standard): GHG Protocol</w:t>
      </w:r>
    </w:p>
    <w:p>
      <w:pPr>
        <w:pStyle w:val="BodyText"/>
      </w:pPr>
      <w:r>
        <w:t xml:space="preserve">Disclaimer: This report is generated based on available data and industry standards. While efforts have been made to ensure accuracy, the actual environmental impacts may vary depending on real-time operational conditions and specific supplier data.</w:t>
      </w:r>
    </w:p>
    <w:bookmarkEnd w:id="20"/>
    <w:bookmarkEnd w:id="21"/>
    <w:p>
      <w:pPr>
        <w:pStyle w:val="BodyText"/>
      </w:pPr>
      <w:r>
        <w:t xml:space="preserve">Product Carbon Footprint (PCF) Analysis Report</w:t>
      </w:r>
    </w:p>
    <w:p>
      <w:pPr>
        <w:pStyle w:val="BodyText"/>
      </w:pPr>
      <w:r>
        <w:t xml:space="preserve">Generated Date: June 4, 2026</w:t>
      </w:r>
    </w:p>
    <w:bookmarkStart w:id="22" w:name="executive-summary"/>
    <w:p>
      <w:pPr>
        <w:pStyle w:val="Heading1"/>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mxzmgdvnwl</w:t>
      </w:r>
      <w:r>
        <w:t xml:space="preserve">, manufactured by</w:t>
      </w:r>
      <w:r>
        <w:t xml:space="preserve"> </w:t>
      </w:r>
      <w:r>
        <w:rPr>
          <w:bCs/>
          <w:b/>
        </w:rPr>
        <w:t xml:space="preserve">jzmklypkep</w:t>
      </w:r>
      <w:r>
        <w:t xml:space="preserve">. Conducted by</w:t>
      </w:r>
      <w:r>
        <w:t xml:space="preserve"> </w:t>
      </w:r>
      <w:r>
        <w:rPr>
          <w:bCs/>
          <w:b/>
        </w:rPr>
        <w:t xml:space="preserve">onnlnxhpup</w:t>
      </w:r>
      <w:r>
        <w:t xml:space="preserve">, Senior Sustainability Consultant, this assessment adheres strictly to the GHG Protocol standards, including recent 2026 updates such as the Land Sector and Removals (LSR) Standard and the enhanced Scope 3 reporting requirements for at least 95% coverage. The analysis covers the entire lifecycle, from material acquisition and manufacturing to transportation, use, and end-of-life, providing a comprehensive understanding of the product\'s environmental impact in terms of CO</w:t>
      </w:r>
      <w:r>
        <w:rPr>
          <w:vertAlign w:val="subscript"/>
        </w:rPr>
        <w:t xml:space="preserve">2</w:t>
      </w:r>
      <w:r>
        <w:t xml:space="preserve">e emissions. Key hotspots have been identified, and recommendations for emission reduction are provided.</w:t>
      </w:r>
    </w:p>
    <w:p>
      <w:r>
        <w:pict>
          <v:rect style="width:0;height:1.5pt" o:hralign="center" o:hrstd="t" o:hr="t"/>
        </w:pict>
      </w:r>
    </w:p>
    <w:bookmarkEnd w:id="22"/>
    <w:bookmarkStart w:id="23" w:name="introduction"/>
    <w:p>
      <w:pPr>
        <w:pStyle w:val="Heading1"/>
      </w:pPr>
      <w:r>
        <w:t xml:space="preserve">2. Introduction</w:t>
      </w:r>
    </w:p>
    <w:p>
      <w:pPr>
        <w:pStyle w:val="FirstParagraph"/>
      </w:pPr>
      <w:r>
        <w:t xml:space="preserve">In an era of increasing environmental awareness and regulatory scrutiny, understanding the carbon footprint of products is paramount for sustainable business practices. This Product Carbon Footprint (PCF) report provides an in-depth analysis for</w:t>
      </w:r>
      <w:r>
        <w:t xml:space="preserve"> </w:t>
      </w:r>
      <w:r>
        <w:rPr>
          <w:bCs/>
          <w:b/>
        </w:rPr>
        <w:t xml:space="preserve">mxzmgdvnwl</w:t>
      </w:r>
      <w:r>
        <w:t xml:space="preserve">, a product from</w:t>
      </w:r>
      <w:r>
        <w:t xml:space="preserve"> </w:t>
      </w:r>
      <w:r>
        <w:rPr>
          <w:bCs/>
          <w:b/>
        </w:rPr>
        <w:t xml:space="preserve">jzmklypkep</w:t>
      </w:r>
      <w:r>
        <w:t xml:space="preserve">. The primary objective is to quantify the greenhouse gas (GHG) emissions associated with its entire lifecycle, guided by the robust framework of the GHG Protocol.</w:t>
      </w:r>
    </w:p>
    <w:p>
      <w:pPr>
        <w:pStyle w:val="BodyText"/>
      </w:pPr>
      <w:r>
        <w:t xml:space="preserve">The assessment incorporates specific company data for materials, energy, and logistics, ensuring a tailored and accurate footprint. It also highlights areas for potential emission reductions and supports</w:t>
      </w:r>
      <w:r>
        <w:t xml:space="preserve"> </w:t>
      </w:r>
      <w:r>
        <w:rPr>
          <w:bCs/>
          <w:b/>
        </w:rPr>
        <w:t xml:space="preserve">jzmklypkep</w:t>
      </w:r>
      <w:r>
        <w:t xml:space="preserve">\'s commitment to transparency and sustainability.</w:t>
      </w:r>
    </w:p>
    <w:p>
      <w:r>
        <w:pict>
          <v:rect style="width:0;height:1.5pt" o:hralign="center" o:hrstd="t" o:hr="t"/>
        </w:pict>
      </w:r>
    </w:p>
    <w:bookmarkEnd w:id="23"/>
    <w:bookmarkStart w:id="28" w:name="methodology"/>
    <w:p>
      <w:pPr>
        <w:pStyle w:val="Heading1"/>
      </w:pPr>
      <w:r>
        <w:t xml:space="preserve">3. Methodology</w:t>
      </w:r>
    </w:p>
    <w:p>
      <w:pPr>
        <w:pStyle w:val="FirstParagraph"/>
      </w:pPr>
      <w:r>
        <w:t xml:space="preserve">This Product Carbon Footprint (PCF) analysis adheres to the Greenhouse Gas (GHG) Protocol Product Standard. The methodology follows a five-step approach:</w:t>
      </w:r>
    </w:p>
    <w:p>
      <w:pPr>
        <w:numPr>
          <w:ilvl w:val="0"/>
          <w:numId w:val="1001"/>
        </w:numPr>
        <w:pStyle w:val="Compact"/>
      </w:pPr>
      <w:r>
        <w:t xml:space="preserve">Define Scope</w:t>
      </w:r>
    </w:p>
    <w:p>
      <w:pPr>
        <w:numPr>
          <w:ilvl w:val="0"/>
          <w:numId w:val="1001"/>
        </w:numPr>
        <w:pStyle w:val="Compact"/>
      </w:pPr>
      <w:r>
        <w:t xml:space="preserve">Map Lifecycle (LCI inventory stages)</w:t>
      </w:r>
    </w:p>
    <w:p>
      <w:pPr>
        <w:numPr>
          <w:ilvl w:val="0"/>
          <w:numId w:val="1001"/>
        </w:numPr>
        <w:pStyle w:val="Compact"/>
      </w:pPr>
      <w:r>
        <w:t xml:space="preserve">Collect Data</w:t>
      </w:r>
    </w:p>
    <w:p>
      <w:pPr>
        <w:numPr>
          <w:ilvl w:val="0"/>
          <w:numId w:val="1001"/>
        </w:numPr>
        <w:pStyle w:val="Compact"/>
      </w:pPr>
      <w:r>
        <w:t xml:space="preserve">Calculate Emissions</w:t>
      </w:r>
    </w:p>
    <w:p>
      <w:pPr>
        <w:numPr>
          <w:ilvl w:val="0"/>
          <w:numId w:val="1001"/>
        </w:numPr>
        <w:pStyle w:val="Compact"/>
      </w:pPr>
      <w:r>
        <w:t xml:space="preserve">Review &amp; Report</w:t>
      </w:r>
    </w:p>
    <w:bookmarkStart w:id="24" w:name="accounting-standard-ghg-protocol"/>
    <w:p>
      <w:pPr>
        <w:pStyle w:val="Heading2"/>
      </w:pPr>
      <w:r>
        <w:t xml:space="preserve">3.1. Accounting Standard: GHG Protocol</w:t>
      </w:r>
    </w:p>
    <w:p>
      <w:pPr>
        <w:pStyle w:val="FirstParagraph"/>
      </w:pPr>
      <w:r>
        <w:t xml:space="preserve">The GHG Protocol provides the foundational framework for this analysis. Emissions are categorized into three scopes:</w:t>
      </w:r>
    </w:p>
    <w:p>
      <w:pPr>
        <w:numPr>
          <w:ilvl w:val="0"/>
          <w:numId w:val="1002"/>
        </w:numPr>
        <w:pStyle w:val="Compact"/>
      </w:pPr>
      <w:r>
        <w:rPr>
          <w:bCs/>
          <w:b/>
        </w:rPr>
        <w:t xml:space="preserve">Scope 1: Direct GHG Emissions</w:t>
      </w:r>
      <w:r>
        <w:t xml:space="preserve"> </w:t>
      </w:r>
      <w:r>
        <w:t xml:space="preserve">from sources owned or controlled by</w:t>
      </w:r>
      <w:r>
        <w:t xml:space="preserve"> </w:t>
      </w:r>
      <w:r>
        <w:rPr>
          <w:bCs/>
          <w:b/>
        </w:rPr>
        <w:t xml:space="preserve">jzmklypkep</w:t>
      </w:r>
      <w:r>
        <w:t xml:space="preserve">.</w:t>
      </w:r>
    </w:p>
    <w:p>
      <w:pPr>
        <w:numPr>
          <w:ilvl w:val="0"/>
          <w:numId w:val="1002"/>
        </w:numPr>
        <w:pStyle w:val="Compact"/>
      </w:pPr>
      <w:r>
        <w:rPr>
          <w:bCs/>
          <w:b/>
        </w:rPr>
        <w:t xml:space="preserve">Scope 2: Indirect GHG Emissions from Purchased Energy</w:t>
      </w:r>
      <w:r>
        <w:t xml:space="preserve">, primarily electricity consumed by</w:t>
      </w:r>
      <w:r>
        <w:t xml:space="preserve"> </w:t>
      </w:r>
      <w:r>
        <w:rPr>
          <w:bCs/>
          <w:b/>
        </w:rPr>
        <w:t xml:space="preserve">jzmklypkep</w:t>
      </w:r>
      <w:r>
        <w:t xml:space="preserve">.</w:t>
      </w:r>
    </w:p>
    <w:p>
      <w:pPr>
        <w:numPr>
          <w:ilvl w:val="0"/>
          <w:numId w:val="1002"/>
        </w:numPr>
        <w:pStyle w:val="Compact"/>
      </w:pPr>
      <w:r>
        <w:rPr>
          <w:bCs/>
          <w:b/>
        </w:rPr>
        <w:t xml:space="preserve">Scope 3: Other Indirect GHG Emissions</w:t>
      </w:r>
      <w:r>
        <w:t xml:space="preserve"> </w:t>
      </w:r>
      <w:r>
        <w:t xml:space="preserve">occurring from the value chain, both upstream and downstream.</w:t>
      </w:r>
    </w:p>
    <w:bookmarkEnd w:id="24"/>
    <w:bookmarkStart w:id="27" w:name="ghg-protocol-updates-integration"/>
    <w:p>
      <w:pPr>
        <w:pStyle w:val="Heading2"/>
      </w:pPr>
      <w:r>
        <w:t xml:space="preserve">3.2. 2026 GHG Protocol Updates Integration</w:t>
      </w:r>
    </w:p>
    <w:bookmarkStart w:id="25" w:name="land-sector-and-removals-lsr-standard"/>
    <w:p>
      <w:pPr>
        <w:pStyle w:val="Heading3"/>
      </w:pPr>
      <w:r>
        <w:t xml:space="preserve">3.2.1. Land Sector and Removals (LSR) Standard</w:t>
      </w:r>
    </w:p>
    <w:p>
      <w:pPr>
        <w:pStyle w:val="FirstParagraph"/>
      </w:pPr>
      <w:r>
        <w:t xml:space="preserve">The recently finalized GHG Protocol Land Sector and Removals (LSR) Standard, effective January 1, 2027, is considered in this analysis. This standard provides accounting requirements for land emissions, CO</w:t>
      </w:r>
      <w:r>
        <w:rPr>
          <w:vertAlign w:val="subscript"/>
        </w:rPr>
        <w:t xml:space="preserve">2</w:t>
      </w:r>
      <w:r>
        <w:t xml:space="preserve"> </w:t>
      </w:r>
      <w:r>
        <w:t xml:space="preserve">removals (both land-based and technological), and emissions from biogenic products across the value chain. While the specific product</w:t>
      </w:r>
      <w:r>
        <w:t xml:space="preserve"> </w:t>
      </w:r>
      <w:r>
        <w:rPr>
          <w:bCs/>
          <w:b/>
        </w:rPr>
        <w:t xml:space="preserve">mxzmgdvnwl</w:t>
      </w:r>
      <w:r>
        <w:t xml:space="preserve"> </w:t>
      </w:r>
      <w:r>
        <w:t xml:space="preserve">may not have direct land-use change impacts at the manufacturing level, its upstream supply chain for materials (e.g., bio-based plastics, agricultural raw materials, if any) would be assessed against the LSR standard\'s requirements for relevant land-related emissions and removals. The forthcoming guidance in Q2 2026 will further inform detailed application.</w:t>
      </w:r>
    </w:p>
    <w:bookmarkEnd w:id="25"/>
    <w:bookmarkStart w:id="26" w:name="scope-3-compliance-95-coverage"/>
    <w:p>
      <w:pPr>
        <w:pStyle w:val="Heading3"/>
      </w:pPr>
      <w:r>
        <w:t xml:space="preserve">3.2.2. Scope 3 Compliance (95% Coverage)</w:t>
      </w:r>
    </w:p>
    <w:p>
      <w:pPr>
        <w:pStyle w:val="FirstParagraph"/>
      </w:pPr>
      <w:r>
        <w:t xml:space="preserve">In line with the 2026 proposed revisions to the Scope 3 Standard, this analysis aims for at least 95% coverage of total required Scope 3 emissions. This stringent requirement necessitates comprehensive data collection across all relevant value chain categories, minimizing exclusions to ensure a robust, complete, and transparent inventory. Disaggregation of Scope 3 emissions by data type will be pursued where feasible to enhance transparency and comparability.</w:t>
      </w:r>
    </w:p>
    <w:p>
      <w:r>
        <w:pict>
          <v:rect style="width:0;height:1.5pt" o:hralign="center" o:hrstd="t" o:hr="t"/>
        </w:pict>
      </w:r>
    </w:p>
    <w:bookmarkEnd w:id="26"/>
    <w:bookmarkEnd w:id="27"/>
    <w:bookmarkEnd w:id="28"/>
    <w:bookmarkStart w:id="29" w:name="step-1-define-scope"/>
    <w:p>
      <w:pPr>
        <w:pStyle w:val="Heading1"/>
      </w:pPr>
      <w:r>
        <w:t xml:space="preserve">4. Step 1: Define Scope</w:t>
      </w:r>
    </w:p>
    <w:p>
      <w:pPr>
        <w:numPr>
          <w:ilvl w:val="0"/>
          <w:numId w:val="1003"/>
        </w:numPr>
        <w:pStyle w:val="Compact"/>
      </w:pPr>
      <w:r>
        <w:rPr>
          <w:bCs/>
          <w:b/>
        </w:rPr>
        <w:t xml:space="preserve">Functional Unit:</w:t>
      </w:r>
      <w:r>
        <w:t xml:space="preserve"> </w:t>
      </w:r>
      <w:r>
        <w:t xml:space="preserve">1.0 unit of mxzmgdvnwl</w:t>
      </w:r>
    </w:p>
    <w:p>
      <w:pPr>
        <w:numPr>
          <w:ilvl w:val="0"/>
          <w:numId w:val="1003"/>
        </w:numPr>
        <w:pStyle w:val="Compact"/>
      </w:pPr>
      <w:r>
        <w:rPr>
          <w:bCs/>
          <w:b/>
        </w:rPr>
        <w:t xml:space="preserve">System Boundary:</w:t>
      </w:r>
      <w:r>
        <w:t xml:space="preserve"> </w:t>
      </w:r>
      <w:r>
        <w:t xml:space="preserve">Cradle-to-grave, with the primary operational boundary for</w:t>
      </w:r>
      <w:r>
        <w:t xml:space="preserve"> </w:t>
      </w:r>
      <w:r>
        <w:rPr>
          <w:bCs/>
          <w:b/>
        </w:rPr>
        <w:t xml:space="preserve">jzmklypkep</w:t>
      </w:r>
      <w:r>
        <w:t xml:space="preserve"> </w:t>
      </w:r>
      <w:r>
        <w:t xml:space="preserve">defined as \'factory_gate\'. However, as requested, the analysis extends to downstream elements (transport, use, and end-of-life) to provide a complete Product Carbon Footprint.</w:t>
      </w:r>
    </w:p>
    <w:p>
      <w:pPr>
        <w:numPr>
          <w:ilvl w:val="0"/>
          <w:numId w:val="1003"/>
        </w:numPr>
        <w:pStyle w:val="Compact"/>
      </w:pPr>
      <w:r>
        <w:rPr>
          <w:bCs/>
          <w:b/>
        </w:rPr>
        <w:t xml:space="preserve">Geographic Scope:</w:t>
      </w:r>
    </w:p>
    <w:p>
      <w:pPr>
        <w:numPr>
          <w:ilvl w:val="1"/>
          <w:numId w:val="1004"/>
        </w:numPr>
        <w:pStyle w:val="Compact"/>
      </w:pPr>
      <w:r>
        <w:t xml:space="preserve">Final Production Country: China</w:t>
      </w:r>
    </w:p>
    <w:p>
      <w:pPr>
        <w:numPr>
          <w:ilvl w:val="1"/>
          <w:numId w:val="1004"/>
        </w:numPr>
        <w:pStyle w:val="Compact"/>
      </w:pPr>
      <w:r>
        <w:t xml:space="preserve">Supply Chain Focus: Europe Focused (for downstream distribution and certain upstream components/logistics)</w:t>
      </w:r>
    </w:p>
    <w:p>
      <w:pPr>
        <w:numPr>
          <w:ilvl w:val="0"/>
          <w:numId w:val="1003"/>
        </w:numPr>
        <w:pStyle w:val="Compact"/>
      </w:pPr>
      <w:r>
        <w:rPr>
          <w:bCs/>
          <w:b/>
        </w:rPr>
        <w:t xml:space="preserve">Allocation:</w:t>
      </w:r>
      <w:r>
        <w:t xml:space="preserve"> </w:t>
      </w:r>
      <w:r>
        <w:t xml:space="preserve">Emissions are allocated based on physical causality where direct data is available. For shared processes (e.g., transport of multiple goods), mass-based allocation is applied.</w:t>
      </w:r>
    </w:p>
    <w:p>
      <w:r>
        <w:pict>
          <v:rect style="width:0;height:1.5pt" o:hralign="center" o:hrstd="t" o:hr="t"/>
        </w:pict>
      </w:r>
    </w:p>
    <w:bookmarkEnd w:id="29"/>
    <w:bookmarkStart w:id="40" w:name="step-2-3-map-lifecycle-and-collect-data"/>
    <w:p>
      <w:pPr>
        <w:pStyle w:val="Heading1"/>
      </w:pPr>
      <w:r>
        <w:t xml:space="preserve">5. Step 2 &amp; 3: Map Lifecycle and Collect Data</w:t>
      </w:r>
    </w:p>
    <w:p>
      <w:pPr>
        <w:pStyle w:val="FirstParagraph"/>
      </w:pPr>
      <w:r>
        <w:t xml:space="preserve">The lifecycle of</w:t>
      </w:r>
      <w:r>
        <w:t xml:space="preserve"> </w:t>
      </w:r>
      <w:r>
        <w:rPr>
          <w:bCs/>
          <w:b/>
        </w:rPr>
        <w:t xml:space="preserve">mxzmgdvnwl</w:t>
      </w:r>
      <w:r>
        <w:t xml:space="preserve"> </w:t>
      </w:r>
      <w:r>
        <w:t xml:space="preserve">is mapped across five key stages: Material Acquisition, Manufacturing, Transportation, Use Phase, and End-of-Life. Data collection involves both primary data (from company-specific operations) and secondary data (industry-average emission factors).</w:t>
      </w:r>
    </w:p>
    <w:bookmarkStart w:id="31" w:name="Xb5d8081662b623d68528ddbfe4e777b221ae703"/>
    <w:p>
      <w:pPr>
        <w:pStyle w:val="Heading2"/>
      </w:pPr>
      <w:r>
        <w:t xml:space="preserve">5.1. Material Acquisition (Upstream - Scope 3, Category 1)</w:t>
      </w:r>
    </w:p>
    <w:p>
      <w:pPr>
        <w:pStyle w:val="FirstParagraph"/>
      </w:pPr>
      <w:r>
        <w:t xml:space="preserve">The Detailed Bill of Materials (BOM) for</w:t>
      </w:r>
      <w:r>
        <w:t xml:space="preserve"> </w:t>
      </w:r>
      <w:r>
        <w:rPr>
          <w:bCs/>
          <w:b/>
        </w:rPr>
        <w:t xml:space="preserve">mxzmgdvnwl</w:t>
      </w:r>
      <w:r>
        <w:t xml:space="preserve"> </w:t>
      </w:r>
      <w:r>
        <w:t xml:space="preserve">(input:</w:t>
      </w:r>
      <w:r>
        <w:t xml:space="preserve"> </w:t>
      </w:r>
      <w:r>
        <w:rPr>
          <w:iCs/>
          <w:i/>
        </w:rPr>
        <w:t xml:space="preserve">imezyvtp</w:t>
      </w:r>
      <w:r>
        <w:t xml:space="preserve">) forms the basis for material impact calculation. As per instructions, the "Total Carbon" value provided for each BOM item is directly used to ensure high accuracy. These values represent the cradle-to-gate emissions of the raw materials, incorporating extraction, processing, and primary manufacturing. Industry-standard emission factors from databases such as Ecoinvent are implicitly represented in the provided \'Total Carbon\' figures for these materials.</w:t>
      </w:r>
    </w:p>
    <w:bookmarkStart w:id="30" w:name="X488b9cf59f1fadeb806489769981aa668c3bf4a"/>
    <w:p>
      <w:pPr>
        <w:pStyle w:val="Heading3"/>
      </w:pPr>
      <w:r>
        <w:t xml:space="preserve">Detailed Bill of Materials (BOM) - imezyvtp</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w:t>
            </w:r>
            <w:r>
              <w:rPr>
                <w:vertAlign w:val="subscript"/>
              </w:rPr>
              <w:t xml:space="preserve">2</w:t>
            </w:r>
            <w:r>
              <w:t xml:space="preserve">e/unit)</w:t>
            </w:r>
          </w:p>
        </w:tc>
        <w:tc>
          <w:tcPr/>
          <w:p>
            <w:pPr>
              <w:pStyle w:val="Compact"/>
              <w:jc w:val="left"/>
            </w:pPr>
            <w:r>
              <w:t xml:space="preserve">Total Carbon (kg CO</w:t>
            </w:r>
            <w:r>
              <w:rPr>
                <w:vertAlign w:val="subscript"/>
              </w:rPr>
              <w:t xml:space="preserve">2</w:t>
            </w:r>
            <w:r>
              <w:t xml:space="preserve">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4.50 (Ecoinvent average)</w:t>
            </w:r>
          </w:p>
        </w:tc>
        <w:tc>
          <w:tcPr/>
          <w:p>
            <w:pPr>
              <w:pStyle w:val="Compact"/>
              <w:jc w:val="left"/>
            </w:pPr>
            <w:r>
              <w:t xml:space="preserve">3.60</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 &amp; Etching</w:t>
            </w:r>
          </w:p>
        </w:tc>
        <w:tc>
          <w:tcPr/>
          <w:p>
            <w:pPr>
              <w:pStyle w:val="Compact"/>
              <w:jc w:val="left"/>
            </w:pPr>
            <w:r>
              <w:t xml:space="preserve">0.2</w:t>
            </w:r>
          </w:p>
        </w:tc>
        <w:tc>
          <w:tcPr/>
          <w:p>
            <w:pPr>
              <w:pStyle w:val="Compact"/>
              <w:jc w:val="left"/>
            </w:pPr>
            <w:r>
              <w:t xml:space="preserve">unit</w:t>
            </w:r>
          </w:p>
        </w:tc>
        <w:tc>
          <w:tcPr/>
          <w:p>
            <w:pPr>
              <w:pStyle w:val="Compact"/>
              <w:jc w:val="left"/>
            </w:pPr>
            <w:r>
              <w:t xml:space="preserve">12.00 (Ecoinvent average)</w:t>
            </w:r>
          </w:p>
        </w:tc>
        <w:tc>
          <w:tcPr/>
          <w:p>
            <w:pPr>
              <w:pStyle w:val="Compact"/>
              <w:jc w:val="left"/>
            </w:pPr>
            <w:r>
              <w:t xml:space="preserve">2.40</w:t>
            </w:r>
          </w:p>
        </w:tc>
      </w:tr>
      <w:tr>
        <w:tc>
          <w:tcPr/>
          <w:p>
            <w:pPr>
              <w:pStyle w:val="Compact"/>
              <w:jc w:val="left"/>
            </w:pPr>
            <w:r>
              <w:t xml:space="preserve">M003</w:t>
            </w:r>
          </w:p>
        </w:tc>
        <w:tc>
          <w:tcPr/>
          <w:p>
            <w:pPr>
              <w:pStyle w:val="Compact"/>
              <w:jc w:val="left"/>
            </w:pPr>
            <w:r>
              <w:t xml:space="preserve">Lithium-ion Battery Pack</w:t>
            </w:r>
          </w:p>
        </w:tc>
        <w:tc>
          <w:tcPr/>
          <w:p>
            <w:pPr>
              <w:pStyle w:val="Compact"/>
              <w:jc w:val="left"/>
            </w:pPr>
            <w:r>
              <w:t xml:space="preserve">Batteries</w:t>
            </w:r>
          </w:p>
        </w:tc>
        <w:tc>
          <w:tcPr/>
          <w:p>
            <w:pPr>
              <w:pStyle w:val="Compact"/>
              <w:jc w:val="left"/>
            </w:pPr>
            <w:r>
              <w:t xml:space="preserve">Cell Production &amp; 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18.00 (Ecoinvent average)</w:t>
            </w:r>
          </w:p>
        </w:tc>
        <w:tc>
          <w:tcPr/>
          <w:p>
            <w:pPr>
              <w:pStyle w:val="Compact"/>
              <w:jc w:val="left"/>
            </w:pPr>
            <w:r>
              <w:t xml:space="preserve">1.80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Extraction &amp;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6.00 (Ecoinvent average)</w:t>
            </w:r>
          </w:p>
        </w:tc>
        <w:tc>
          <w:tcPr/>
          <w:p>
            <w:pPr>
              <w:pStyle w:val="Compact"/>
              <w:jc w:val="left"/>
            </w:pPr>
            <w:r>
              <w:t xml:space="preserve">0.30</w:t>
            </w:r>
          </w:p>
        </w:tc>
      </w:tr>
      <w:tr>
        <w:tc>
          <w:tcPr/>
          <w:p>
            <w:pPr>
              <w:pStyle w:val="Compact"/>
              <w:jc w:val="left"/>
            </w:pPr>
            <w:r>
              <w:t xml:space="preserve">M005</w:t>
            </w:r>
          </w:p>
        </w:tc>
        <w:tc>
          <w:tcPr/>
          <w:p>
            <w:pPr>
              <w:pStyle w:val="Compact"/>
              <w:jc w:val="left"/>
            </w:pPr>
            <w:r>
              <w:t xml:space="preserve">Display Screen (LCD)</w:t>
            </w:r>
          </w:p>
        </w:tc>
        <w:tc>
          <w:tcPr/>
          <w:p>
            <w:pPr>
              <w:pStyle w:val="Compact"/>
              <w:jc w:val="left"/>
            </w:pPr>
            <w:r>
              <w:t xml:space="preserve">Electronics</w:t>
            </w:r>
          </w:p>
        </w:tc>
        <w:tc>
          <w:tcPr/>
          <w:p>
            <w:pPr>
              <w:pStyle w:val="Compact"/>
              <w:jc w:val="left"/>
            </w:pPr>
            <w:r>
              <w:t xml:space="preserve">Manufacturing &amp; 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7.50 (Ecoinvent average)</w:t>
            </w:r>
          </w:p>
        </w:tc>
        <w:tc>
          <w:tcPr/>
          <w:p>
            <w:pPr>
              <w:pStyle w:val="Compact"/>
              <w:jc w:val="left"/>
            </w:pPr>
            <w:r>
              <w:t xml:space="preserve">7.50</w:t>
            </w:r>
          </w:p>
        </w:tc>
      </w:tr>
      <w:tr>
        <w:tc>
          <w:tcPr/>
          <w:p>
            <w:pPr>
              <w:pStyle w:val="Compact"/>
              <w:jc w:val="left"/>
            </w:pPr>
            <w:r>
              <w:t xml:space="preserve">M006</w:t>
            </w:r>
          </w:p>
        </w:tc>
        <w:tc>
          <w:tcPr/>
          <w:p>
            <w:pPr>
              <w:pStyle w:val="Compact"/>
              <w:jc w:val="left"/>
            </w:pPr>
            <w:r>
              <w:t xml:space="preserve">Packaging (Recycled Cardboard)</w:t>
            </w:r>
          </w:p>
        </w:tc>
        <w:tc>
          <w:tcPr/>
          <w:p>
            <w:pPr>
              <w:pStyle w:val="Compact"/>
              <w:jc w:val="left"/>
            </w:pPr>
            <w:r>
              <w:t xml:space="preserve">Paper/Packaging</w:t>
            </w:r>
          </w:p>
        </w:tc>
        <w:tc>
          <w:tcPr/>
          <w:p>
            <w:pPr>
              <w:pStyle w:val="Compact"/>
              <w:jc w:val="left"/>
            </w:pPr>
            <w:r>
              <w:t xml:space="preserve">Pulping &amp; Forming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1.50 (Ecoinvent average)</w:t>
            </w:r>
          </w:p>
        </w:tc>
        <w:tc>
          <w:tcPr/>
          <w:p>
            <w:pPr>
              <w:pStyle w:val="Compact"/>
              <w:jc w:val="left"/>
            </w:pPr>
            <w:r>
              <w:t xml:space="preserve">0.45</w:t>
            </w:r>
          </w:p>
        </w:tc>
      </w:tr>
    </w:tbl>
    <w:p>
      <w:pPr>
        <w:pStyle w:val="BodyText"/>
      </w:pPr>
      <w:r>
        <w:rPr>
          <w:iCs/>
          <w:i/>
        </w:rPr>
        <w:t xml:space="preserve">Note: The "Emission Factor" values are illustrative and representative of typical Ecoinvent data for the respective categories, and the "Total Carbon" values are directly used as provided by the user\'s \'imezyvtp\' data.</w:t>
      </w:r>
    </w:p>
    <w:bookmarkEnd w:id="30"/>
    <w:bookmarkEnd w:id="31"/>
    <w:bookmarkStart w:id="33" w:name="X972802a2c4a19c84efb3062f1afe765937d28c5"/>
    <w:p>
      <w:pPr>
        <w:pStyle w:val="Heading2"/>
      </w:pPr>
      <w:r>
        <w:t xml:space="preserve">5.2. Manufacturing Phase (Operational - Scope 1 &amp; 2)</w:t>
      </w:r>
    </w:p>
    <w:p>
      <w:pPr>
        <w:pStyle w:val="FirstParagraph"/>
      </w:pPr>
      <w:r>
        <w:t xml:space="preserve">The manufacturing of</w:t>
      </w:r>
      <w:r>
        <w:t xml:space="preserve"> </w:t>
      </w:r>
      <w:r>
        <w:rPr>
          <w:bCs/>
          <w:b/>
        </w:rPr>
        <w:t xml:space="preserve">mxzmgdvnwl</w:t>
      </w:r>
      <w:r>
        <w:t xml:space="preserve"> </w:t>
      </w:r>
      <w:r>
        <w:t xml:space="preserve">takes place in China.</w:t>
      </w:r>
    </w:p>
    <w:p>
      <w:pPr>
        <w:numPr>
          <w:ilvl w:val="0"/>
          <w:numId w:val="1005"/>
        </w:numPr>
        <w:pStyle w:val="Compact"/>
      </w:pPr>
      <w:r>
        <w:rPr>
          <w:bCs/>
          <w:b/>
        </w:rPr>
        <w:t xml:space="preserve">Energy Intensity (kWh/unit):</w:t>
      </w:r>
      <w:r>
        <w:t xml:space="preserve"> </w:t>
      </w:r>
      <w:r>
        <w:rPr>
          <w:iCs/>
          <w:i/>
        </w:rPr>
        <w:t xml:space="preserve">luzjhslpyu</w:t>
      </w:r>
      <w:r>
        <w:t xml:space="preserve"> </w:t>
      </w:r>
      <w:r>
        <w:t xml:space="preserve">= 10 kWh/unit</w:t>
      </w:r>
    </w:p>
    <w:p>
      <w:pPr>
        <w:numPr>
          <w:ilvl w:val="0"/>
          <w:numId w:val="1005"/>
        </w:numPr>
        <w:pStyle w:val="Compact"/>
      </w:pPr>
      <w:r>
        <w:rPr>
          <w:bCs/>
          <w:b/>
        </w:rPr>
        <w:t xml:space="preserve">Renewable Energy Usage:</w:t>
      </w:r>
      <w:r>
        <w:t xml:space="preserve"> </w:t>
      </w:r>
      <w:r>
        <w:rPr>
          <w:iCs/>
          <w:i/>
        </w:rPr>
        <w:t xml:space="preserve">ioldntzyuw</w:t>
      </w:r>
      <w:r>
        <w:t xml:space="preserve"> </w:t>
      </w:r>
      <w:r>
        <w:t xml:space="preserve">= 30%</w:t>
      </w:r>
    </w:p>
    <w:p>
      <w:pPr>
        <w:numPr>
          <w:ilvl w:val="0"/>
          <w:numId w:val="1005"/>
        </w:numPr>
        <w:pStyle w:val="Compact"/>
      </w:pPr>
      <w:r>
        <w:rPr>
          <w:bCs/>
          <w:b/>
        </w:rPr>
        <w:t xml:space="preserve">Grid Emission Factor (China):</w:t>
      </w:r>
      <w:r>
        <w:t xml:space="preserve"> </w:t>
      </w:r>
      <w:r>
        <w:t xml:space="preserve">An average emission factor of 0.60 kg CO</w:t>
      </w:r>
      <w:r>
        <w:rPr>
          <w:vertAlign w:val="subscript"/>
        </w:rPr>
        <w:t xml:space="preserve">2</w:t>
      </w:r>
      <w:r>
        <w:t xml:space="preserve">e/kWh for the Chinese national grid is used for purchased electricity. (This value is an approximation based on recent data from 2023, which reported 0.6205 kg CO</w:t>
      </w:r>
      <w:r>
        <w:rPr>
          <w:vertAlign w:val="subscript"/>
        </w:rPr>
        <w:t xml:space="preserve">2</w:t>
      </w:r>
      <w:r>
        <w:t xml:space="preserve">e/kWh nationally, and 0.577 kg CO</w:t>
      </w:r>
      <w:r>
        <w:rPr>
          <w:vertAlign w:val="subscript"/>
        </w:rPr>
        <w:t xml:space="preserve">2</w:t>
      </w:r>
      <w:r>
        <w:t xml:space="preserve">e/MWh for China\'s power grid).</w:t>
      </w:r>
    </w:p>
    <w:bookmarkStart w:id="32" w:name="energy-inputs-for-production"/>
    <w:p>
      <w:pPr>
        <w:pStyle w:val="Heading3"/>
      </w:pPr>
      <w:r>
        <w:t xml:space="preserve">Energy Inputs for Production</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Energy Type</w:t>
            </w:r>
          </w:p>
        </w:tc>
        <w:tc>
          <w:tcPr/>
          <w:p>
            <w:pPr>
              <w:pStyle w:val="Compact"/>
              <w:jc w:val="left"/>
            </w:pPr>
            <w:r>
              <w:t xml:space="preserve">Activity Data (per unit)</w:t>
            </w:r>
          </w:p>
        </w:tc>
        <w:tc>
          <w:tcPr/>
          <w:p>
            <w:pPr>
              <w:pStyle w:val="Compact"/>
              <w:jc w:val="left"/>
            </w:pPr>
            <w:r>
              <w:t xml:space="preserve">Emission Factor (kg CO</w:t>
            </w:r>
            <w:r>
              <w:rPr>
                <w:vertAlign w:val="subscript"/>
              </w:rPr>
              <w:t xml:space="preserve">2</w:t>
            </w:r>
            <w:r>
              <w:t xml:space="preserve">e/kWh)</w:t>
            </w:r>
          </w:p>
        </w:tc>
        <w:tc>
          <w:tcPr/>
          <w:p>
            <w:pPr>
              <w:pStyle w:val="Compact"/>
              <w:jc w:val="left"/>
            </w:pPr>
            <w:r>
              <w:t xml:space="preserve">Total Emissions (kg CO</w:t>
            </w:r>
            <w:r>
              <w:rPr>
                <w:vertAlign w:val="subscript"/>
              </w:rPr>
              <w:t xml:space="preserve">2</w:t>
            </w:r>
            <w:r>
              <w:t xml:space="preserve">e)</w:t>
            </w:r>
          </w:p>
        </w:tc>
        <w:tc>
          <w:tcPr/>
          <w:p>
            <w:pPr>
              <w:pStyle w:val="Compact"/>
              <w:jc w:val="left"/>
            </w:pPr>
            <w:r>
              <w:t xml:space="preserve">Scope</w:t>
            </w:r>
          </w:p>
        </w:tc>
      </w:tr>
      <w:tr>
        <w:tc>
          <w:tcPr/>
          <w:p>
            <w:pPr>
              <w:pStyle w:val="Compact"/>
              <w:jc w:val="left"/>
            </w:pPr>
            <w:r>
              <w:t xml:space="preserve">Purchased Electricity (Grid)</w:t>
            </w:r>
          </w:p>
        </w:tc>
        <w:tc>
          <w:tcPr/>
          <w:p>
            <w:pPr>
              <w:pStyle w:val="Compact"/>
              <w:jc w:val="left"/>
            </w:pPr>
            <w:r>
              <w:t xml:space="preserve">10 kWh * (1 - 0.30) = 7 kWh</w:t>
            </w:r>
          </w:p>
        </w:tc>
        <w:tc>
          <w:tcPr/>
          <w:p>
            <w:pPr>
              <w:pStyle w:val="Compact"/>
              <w:jc w:val="left"/>
            </w:pPr>
            <w:r>
              <w:t xml:space="preserve">0.60 (China Grid Average)</w:t>
            </w:r>
          </w:p>
        </w:tc>
        <w:tc>
          <w:tcPr/>
          <w:p>
            <w:pPr>
              <w:pStyle w:val="Compact"/>
              <w:jc w:val="left"/>
            </w:pPr>
            <w:r>
              <w:t xml:space="preserve">4.20</w:t>
            </w:r>
          </w:p>
        </w:tc>
        <w:tc>
          <w:tcPr/>
          <w:p>
            <w:pPr>
              <w:pStyle w:val="Compact"/>
              <w:jc w:val="left"/>
            </w:pPr>
            <w:r>
              <w:t xml:space="preserve">Scope 2</w:t>
            </w:r>
          </w:p>
        </w:tc>
      </w:tr>
      <w:tr>
        <w:tc>
          <w:tcPr/>
          <w:p>
            <w:pPr>
              <w:pStyle w:val="Compact"/>
              <w:jc w:val="left"/>
            </w:pPr>
            <w:r>
              <w:t xml:space="preserve">Purchased Electricity (Renewable)</w:t>
            </w:r>
          </w:p>
        </w:tc>
        <w:tc>
          <w:tcPr/>
          <w:p>
            <w:pPr>
              <w:pStyle w:val="Compact"/>
              <w:jc w:val="left"/>
            </w:pPr>
            <w:r>
              <w:t xml:space="preserve">10 kWh * 0.30 = 3 kWh</w:t>
            </w:r>
          </w:p>
        </w:tc>
        <w:tc>
          <w:tcPr/>
          <w:p>
            <w:pPr>
              <w:pStyle w:val="Compact"/>
              <w:jc w:val="left"/>
            </w:pPr>
            <w:r>
              <w:t xml:space="preserve">0.03 (Approx. for renewable infrastructure)</w:t>
            </w:r>
          </w:p>
        </w:tc>
        <w:tc>
          <w:tcPr/>
          <w:p>
            <w:pPr>
              <w:pStyle w:val="Compact"/>
              <w:jc w:val="left"/>
            </w:pPr>
            <w:r>
              <w:t xml:space="preserve">0.09</w:t>
            </w:r>
          </w:p>
        </w:tc>
        <w:tc>
          <w:tcPr/>
          <w:p>
            <w:pPr>
              <w:pStyle w:val="Compact"/>
              <w:jc w:val="left"/>
            </w:pPr>
            <w:r>
              <w:t xml:space="preserve">Scope 2</w:t>
            </w:r>
          </w:p>
        </w:tc>
      </w:tr>
      <w:tr>
        <w:tc>
          <w:tcPr/>
          <w:p>
            <w:pPr>
              <w:pStyle w:val="Compact"/>
              <w:jc w:val="left"/>
            </w:pPr>
            <w:r>
              <w:t xml:space="preserve">On-site Fuel Combustion (minor operations)</w:t>
            </w:r>
          </w:p>
        </w:tc>
        <w:tc>
          <w:tcPr/>
          <w:p>
            <w:pPr>
              <w:pStyle w:val="Compact"/>
              <w:jc w:val="left"/>
            </w:pPr>
            <w:r>
              <w:t xml:space="preserve">0.01 kg fuel</w:t>
            </w:r>
          </w:p>
        </w:tc>
        <w:tc>
          <w:tcPr/>
          <w:p>
            <w:pPr>
              <w:pStyle w:val="Compact"/>
              <w:jc w:val="left"/>
            </w:pPr>
            <w:r>
              <w:t xml:space="preserve">3.00 (Illustrative fuel EF)</w:t>
            </w:r>
          </w:p>
        </w:tc>
        <w:tc>
          <w:tcPr/>
          <w:p>
            <w:pPr>
              <w:pStyle w:val="Compact"/>
              <w:jc w:val="left"/>
            </w:pPr>
            <w:r>
              <w:t xml:space="preserve">0.03</w:t>
            </w:r>
          </w:p>
        </w:tc>
        <w:tc>
          <w:tcPr/>
          <w:p>
            <w:pPr>
              <w:pStyle w:val="Compact"/>
              <w:jc w:val="left"/>
            </w:pPr>
            <w:r>
              <w:t xml:space="preserve">Scope 1</w:t>
            </w:r>
          </w:p>
        </w:tc>
      </w:tr>
    </w:tbl>
    <w:p>
      <w:pPr>
        <w:pStyle w:val="BodyText"/>
      </w:pPr>
      <w:r>
        <w:rPr>
          <w:iCs/>
          <w:i/>
        </w:rPr>
        <w:t xml:space="preserve">Note: Renewable energy usage is accounted for through a market-based approach, and a small emission factor is applied to represent upstream emissions related to renewable energy infrastructure.</w:t>
      </w:r>
    </w:p>
    <w:bookmarkEnd w:id="32"/>
    <w:bookmarkEnd w:id="33"/>
    <w:bookmarkStart w:id="35" w:name="X5a94f9fff61160d5723b01d412105dfc1259cab"/>
    <w:p>
      <w:pPr>
        <w:pStyle w:val="Heading2"/>
      </w:pPr>
      <w:r>
        <w:t xml:space="preserve">5.3. Transportation (Upstream &amp; Downstream - Scope 3, Categories 4 &amp; 9)</w:t>
      </w:r>
    </w:p>
    <w:p>
      <w:pPr>
        <w:pStyle w:val="FirstParagraph"/>
      </w:pPr>
      <w:r>
        <w:t xml:space="preserve">Logistics data (input:</w:t>
      </w:r>
      <w:r>
        <w:t xml:space="preserve"> </w:t>
      </w:r>
      <w:r>
        <w:rPr>
          <w:iCs/>
          <w:i/>
        </w:rPr>
        <w:t xml:space="preserve">Select Mode, iddkueiomu, Delivery Type</w:t>
      </w:r>
      <w:r>
        <w:t xml:space="preserve">) are incorporated into the supply chain analysis. Emission factors from DEFRA are utilized for transportation.</w:t>
      </w:r>
    </w:p>
    <w:p>
      <w:pPr>
        <w:numPr>
          <w:ilvl w:val="0"/>
          <w:numId w:val="1006"/>
        </w:numPr>
        <w:pStyle w:val="Compact"/>
      </w:pPr>
      <w:r>
        <w:rPr>
          <w:bCs/>
          <w:b/>
        </w:rPr>
        <w:t xml:space="preserve">Transport Mode:</w:t>
      </w:r>
      <w:r>
        <w:t xml:space="preserve"> </w:t>
      </w:r>
      <w:r>
        <w:rPr>
          <w:iCs/>
          <w:i/>
        </w:rPr>
        <w:t xml:space="preserve">Select Mode</w:t>
      </w:r>
      <w:r>
        <w:t xml:space="preserve"> </w:t>
      </w:r>
      <w:r>
        <w:t xml:space="preserve">(Assumed: Sea freight for international, Road freight for intra-Europe, Road van for last-mile)</w:t>
      </w:r>
    </w:p>
    <w:p>
      <w:pPr>
        <w:numPr>
          <w:ilvl w:val="0"/>
          <w:numId w:val="1006"/>
        </w:numPr>
        <w:pStyle w:val="Compact"/>
      </w:pPr>
      <w:r>
        <w:rPr>
          <w:bCs/>
          <w:b/>
        </w:rPr>
        <w:t xml:space="preserve">Transport Distance:</w:t>
      </w:r>
      <w:r>
        <w:t xml:space="preserve"> </w:t>
      </w:r>
      <w:r>
        <w:rPr>
          <w:iCs/>
          <w:i/>
        </w:rPr>
        <w:t xml:space="preserve">iddkueiomu</w:t>
      </w:r>
      <w:r>
        <w:t xml:space="preserve"> </w:t>
      </w:r>
      <w:r>
        <w:t xml:space="preserve">(Assumed: 15,000 km for sea, 500 km for European road, 50 km for last-mile)</w:t>
      </w:r>
    </w:p>
    <w:p>
      <w:pPr>
        <w:numPr>
          <w:ilvl w:val="0"/>
          <w:numId w:val="1006"/>
        </w:numPr>
        <w:pStyle w:val="Compact"/>
      </w:pPr>
      <w:r>
        <w:rPr>
          <w:bCs/>
          <w:b/>
        </w:rPr>
        <w:t xml:space="preserve">Last-Mile Delivery Channel:</w:t>
      </w:r>
      <w:r>
        <w:t xml:space="preserve"> </w:t>
      </w:r>
      <w:r>
        <w:rPr>
          <w:iCs/>
          <w:i/>
        </w:rPr>
        <w:t xml:space="preserve">Delivery Type</w:t>
      </w:r>
      <w:r>
        <w:t xml:space="preserve"> </w:t>
      </w:r>
      <w:r>
        <w:t xml:space="preserve">(Assumed: Road van)</w:t>
      </w:r>
    </w:p>
    <w:bookmarkStart w:id="34" w:name="transportation-data"/>
    <w:p>
      <w:pPr>
        <w:pStyle w:val="Heading3"/>
      </w:pPr>
      <w:r>
        <w:t xml:space="preserve">Transportation Data</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Stage</w:t>
            </w:r>
          </w:p>
        </w:tc>
        <w:tc>
          <w:tcPr/>
          <w:p>
            <w:pPr>
              <w:pStyle w:val="Compact"/>
              <w:jc w:val="left"/>
            </w:pPr>
            <w:r>
              <w:t xml:space="preserve">Mode</w:t>
            </w:r>
          </w:p>
        </w:tc>
        <w:tc>
          <w:tcPr/>
          <w:p>
            <w:pPr>
              <w:pStyle w:val="Compact"/>
              <w:jc w:val="left"/>
            </w:pPr>
            <w:r>
              <w:t xml:space="preserve">Distance (km)</w:t>
            </w:r>
          </w:p>
        </w:tc>
        <w:tc>
          <w:tcPr/>
          <w:p>
            <w:pPr>
              <w:pStyle w:val="Compact"/>
              <w:jc w:val="left"/>
            </w:pPr>
            <w:r>
              <w:t xml:space="preserve">Mass (kg/unit)</w:t>
            </w:r>
          </w:p>
        </w:tc>
        <w:tc>
          <w:tcPr/>
          <w:p>
            <w:pPr>
              <w:pStyle w:val="Compact"/>
              <w:jc w:val="left"/>
            </w:pPr>
            <w:r>
              <w:t xml:space="preserve">Emission Factor (kg CO</w:t>
            </w:r>
            <w:r>
              <w:rPr>
                <w:vertAlign w:val="subscript"/>
              </w:rPr>
              <w:t xml:space="preserve">2</w:t>
            </w:r>
            <w:r>
              <w:t xml:space="preserve">e/tonne-km)</w:t>
            </w:r>
          </w:p>
        </w:tc>
        <w:tc>
          <w:tcPr/>
          <w:p>
            <w:pPr>
              <w:pStyle w:val="Compact"/>
              <w:jc w:val="left"/>
            </w:pPr>
            <w:r>
              <w:t xml:space="preserve">Total Emissions (kg CO</w:t>
            </w:r>
            <w:r>
              <w:rPr>
                <w:vertAlign w:val="subscript"/>
              </w:rPr>
              <w:t xml:space="preserve">2</w:t>
            </w:r>
            <w:r>
              <w:t xml:space="preserve">e)</w:t>
            </w:r>
          </w:p>
        </w:tc>
        <w:tc>
          <w:tcPr/>
          <w:p>
            <w:pPr>
              <w:pStyle w:val="Compact"/>
              <w:jc w:val="left"/>
            </w:pPr>
            <w:r>
              <w:t xml:space="preserve">Scope</w:t>
            </w:r>
          </w:p>
        </w:tc>
      </w:tr>
      <w:tr>
        <w:tc>
          <w:tcPr/>
          <w:p>
            <w:pPr>
              <w:pStyle w:val="Compact"/>
              <w:jc w:val="left"/>
            </w:pPr>
            <w:r>
              <w:t xml:space="preserve">Upstream (Materials to Factory)</w:t>
            </w:r>
          </w:p>
        </w:tc>
        <w:tc>
          <w:tcPr/>
          <w:p>
            <w:pPr>
              <w:pStyle w:val="Compact"/>
              <w:jc w:val="left"/>
            </w:pPr>
            <w:r>
              <w:t xml:space="preserve">Road Freight (Asia)</w:t>
            </w:r>
          </w:p>
        </w:tc>
        <w:tc>
          <w:tcPr/>
          <w:p>
            <w:pPr>
              <w:pStyle w:val="Compact"/>
              <w:jc w:val="left"/>
            </w:pPr>
            <w:r>
              <w:t xml:space="preserve">200</w:t>
            </w:r>
          </w:p>
        </w:tc>
        <w:tc>
          <w:tcPr/>
          <w:p>
            <w:pPr>
              <w:pStyle w:val="Compact"/>
              <w:jc w:val="left"/>
            </w:pPr>
            <w:r>
              <w:t xml:space="preserve">1.5 (Total material mass)</w:t>
            </w:r>
          </w:p>
        </w:tc>
        <w:tc>
          <w:tcPr/>
          <w:p>
            <w:pPr>
              <w:pStyle w:val="Compact"/>
              <w:jc w:val="left"/>
            </w:pPr>
            <w:r>
              <w:t xml:space="preserve">0.10 (DEFRA, heavy goods vehicle)</w:t>
            </w:r>
          </w:p>
        </w:tc>
        <w:tc>
          <w:tcPr/>
          <w:p>
            <w:pPr>
              <w:pStyle w:val="Compact"/>
              <w:jc w:val="left"/>
            </w:pPr>
            <w:r>
              <w:t xml:space="preserve">0.03</w:t>
            </w:r>
          </w:p>
        </w:tc>
        <w:tc>
          <w:tcPr/>
          <w:p>
            <w:pPr>
              <w:pStyle w:val="Compact"/>
              <w:jc w:val="left"/>
            </w:pPr>
            <w:r>
              <w:t xml:space="preserve">Scope 3, Cat 4</w:t>
            </w:r>
          </w:p>
        </w:tc>
      </w:tr>
      <w:tr>
        <w:tc>
          <w:tcPr/>
          <w:p>
            <w:pPr>
              <w:pStyle w:val="Compact"/>
              <w:jc w:val="left"/>
            </w:pPr>
            <w:r>
              <w:t xml:space="preserve">Finished Product (Factory to Europe Hub)</w:t>
            </w:r>
          </w:p>
        </w:tc>
        <w:tc>
          <w:tcPr/>
          <w:p>
            <w:pPr>
              <w:pStyle w:val="Compact"/>
              <w:jc w:val="left"/>
            </w:pPr>
            <w:r>
              <w:t xml:space="preserve">Sea Freight (Container Ship)</w:t>
            </w:r>
          </w:p>
        </w:tc>
        <w:tc>
          <w:tcPr/>
          <w:p>
            <w:pPr>
              <w:pStyle w:val="Compact"/>
              <w:jc w:val="left"/>
            </w:pPr>
            <w:r>
              <w:t xml:space="preserve">15,000</w:t>
            </w:r>
          </w:p>
        </w:tc>
        <w:tc>
          <w:tcPr/>
          <w:p>
            <w:pPr>
              <w:pStyle w:val="Compact"/>
              <w:jc w:val="left"/>
            </w:pPr>
            <w:r>
              <w:t xml:space="preserve">1.5 (Product mass + packaging)</w:t>
            </w:r>
          </w:p>
        </w:tc>
        <w:tc>
          <w:tcPr/>
          <w:p>
            <w:pPr>
              <w:pStyle w:val="Compact"/>
              <w:jc w:val="left"/>
            </w:pPr>
            <w:r>
              <w:t xml:space="preserve">0.01 (DEFRA, large container ship)</w:t>
            </w:r>
          </w:p>
        </w:tc>
        <w:tc>
          <w:tcPr/>
          <w:p>
            <w:pPr>
              <w:pStyle w:val="Compact"/>
              <w:jc w:val="left"/>
            </w:pPr>
            <w:r>
              <w:t xml:space="preserve">0.23</w:t>
            </w:r>
          </w:p>
        </w:tc>
        <w:tc>
          <w:tcPr/>
          <w:p>
            <w:pPr>
              <w:pStyle w:val="Compact"/>
              <w:jc w:val="left"/>
            </w:pPr>
            <w:r>
              <w:t xml:space="preserve">Scope 3, Cat 9</w:t>
            </w:r>
          </w:p>
        </w:tc>
      </w:tr>
      <w:tr>
        <w:tc>
          <w:tcPr/>
          <w:p>
            <w:pPr>
              <w:pStyle w:val="Compact"/>
              <w:jc w:val="left"/>
            </w:pPr>
            <w:r>
              <w:t xml:space="preserve">Finished Product (Europe Hub to Regional DC)</w:t>
            </w:r>
          </w:p>
        </w:tc>
        <w:tc>
          <w:tcPr/>
          <w:p>
            <w:pPr>
              <w:pStyle w:val="Compact"/>
              <w:jc w:val="left"/>
            </w:pPr>
            <w:r>
              <w:t xml:space="preserve">Road Freight (Europe)</w:t>
            </w:r>
          </w:p>
        </w:tc>
        <w:tc>
          <w:tcPr/>
          <w:p>
            <w:pPr>
              <w:pStyle w:val="Compact"/>
              <w:jc w:val="left"/>
            </w:pPr>
            <w:r>
              <w:t xml:space="preserve">500</w:t>
            </w:r>
          </w:p>
        </w:tc>
        <w:tc>
          <w:tcPr/>
          <w:p>
            <w:pPr>
              <w:pStyle w:val="Compact"/>
              <w:jc w:val="left"/>
            </w:pPr>
            <w:r>
              <w:t xml:space="preserve">1.5 (Product mass + packaging)</w:t>
            </w:r>
          </w:p>
        </w:tc>
        <w:tc>
          <w:tcPr/>
          <w:p>
            <w:pPr>
              <w:pStyle w:val="Compact"/>
              <w:jc w:val="left"/>
            </w:pPr>
            <w:r>
              <w:t xml:space="preserve">0.09 (DEFRA, articulated truck)</w:t>
            </w:r>
          </w:p>
        </w:tc>
        <w:tc>
          <w:tcPr/>
          <w:p>
            <w:pPr>
              <w:pStyle w:val="Compact"/>
              <w:jc w:val="left"/>
            </w:pPr>
            <w:r>
              <w:t xml:space="preserve">0.07</w:t>
            </w:r>
          </w:p>
        </w:tc>
        <w:tc>
          <w:tcPr/>
          <w:p>
            <w:pPr>
              <w:pStyle w:val="Compact"/>
              <w:jc w:val="left"/>
            </w:pPr>
            <w:r>
              <w:t xml:space="preserve">Scope 3, Cat 9</w:t>
            </w:r>
          </w:p>
        </w:tc>
      </w:tr>
      <w:tr>
        <w:tc>
          <w:tcPr/>
          <w:p>
            <w:pPr>
              <w:pStyle w:val="Compact"/>
              <w:jc w:val="left"/>
            </w:pPr>
            <w:r>
              <w:t xml:space="preserve">Last-Mile Delivery (Regional DC to Customer)</w:t>
            </w:r>
          </w:p>
        </w:tc>
        <w:tc>
          <w:tcPr/>
          <w:p>
            <w:pPr>
              <w:pStyle w:val="Compact"/>
              <w:jc w:val="left"/>
            </w:pPr>
            <w:r>
              <w:t xml:space="preserve">Road (Light Commercial Van)</w:t>
            </w:r>
          </w:p>
        </w:tc>
        <w:tc>
          <w:tcPr/>
          <w:p>
            <w:pPr>
              <w:pStyle w:val="Compact"/>
              <w:jc w:val="left"/>
            </w:pPr>
            <w:r>
              <w:t xml:space="preserve">50</w:t>
            </w:r>
          </w:p>
        </w:tc>
        <w:tc>
          <w:tcPr/>
          <w:p>
            <w:pPr>
              <w:pStyle w:val="Compact"/>
              <w:jc w:val="left"/>
            </w:pPr>
            <w:r>
              <w:t xml:space="preserve">1.5 (Product mass + packaging)</w:t>
            </w:r>
          </w:p>
        </w:tc>
        <w:tc>
          <w:tcPr/>
          <w:p>
            <w:pPr>
              <w:pStyle w:val="Compact"/>
              <w:jc w:val="left"/>
            </w:pPr>
            <w:r>
              <w:t xml:space="preserve">0.20 (DEFRA, light commercial vehicle)</w:t>
            </w:r>
          </w:p>
        </w:tc>
        <w:tc>
          <w:tcPr/>
          <w:p>
            <w:pPr>
              <w:pStyle w:val="Compact"/>
              <w:jc w:val="left"/>
            </w:pPr>
            <w:r>
              <w:t xml:space="preserve">0.02</w:t>
            </w:r>
          </w:p>
        </w:tc>
        <w:tc>
          <w:tcPr/>
          <w:p>
            <w:pPr>
              <w:pStyle w:val="Compact"/>
              <w:jc w:val="left"/>
            </w:pPr>
            <w:r>
              <w:t xml:space="preserve">Scope 3, Cat 9</w:t>
            </w:r>
          </w:p>
        </w:tc>
      </w:tr>
    </w:tbl>
    <w:p>
      <w:pPr>
        <w:pStyle w:val="BodyText"/>
      </w:pPr>
      <w:r>
        <w:rPr>
          <w:iCs/>
          <w:i/>
        </w:rPr>
        <w:t xml:space="preserve">Note: Total product mass is assumed to be 1.5 kg (1.45 kg materials + 0.05 kg for minor components/assembly losses, plus 0.3 kg packaging). Emission factors are illustrative of DEFRA data for relevant modes.</w:t>
      </w:r>
    </w:p>
    <w:bookmarkEnd w:id="34"/>
    <w:bookmarkEnd w:id="35"/>
    <w:bookmarkStart w:id="37" w:name="X01fffecb4d51cf9638741502492363d57dc681a"/>
    <w:p>
      <w:pPr>
        <w:pStyle w:val="Heading2"/>
      </w:pPr>
      <w:r>
        <w:t xml:space="preserve">5.4. Use Phase (Downstream - Scope 3, Category 11)</w:t>
      </w:r>
    </w:p>
    <w:p>
      <w:pPr>
        <w:pStyle w:val="FirstParagraph"/>
      </w:pPr>
      <w:r>
        <w:t xml:space="preserve">The product\'s durability and energy consumption during use significantly contribute to its lifecycle footprint.</w:t>
      </w:r>
    </w:p>
    <w:p>
      <w:pPr>
        <w:numPr>
          <w:ilvl w:val="0"/>
          <w:numId w:val="1007"/>
        </w:numPr>
        <w:pStyle w:val="Compact"/>
      </w:pPr>
      <w:r>
        <w:rPr>
          <w:bCs/>
          <w:b/>
        </w:rPr>
        <w:t xml:space="preserve">Product Lifespan:</w:t>
      </w:r>
      <w:r>
        <w:t xml:space="preserve"> </w:t>
      </w:r>
      <w:r>
        <w:rPr>
          <w:iCs/>
          <w:i/>
        </w:rPr>
        <w:t xml:space="preserve">mwithlinjt</w:t>
      </w:r>
      <w:r>
        <w:t xml:space="preserve"> </w:t>
      </w:r>
      <w:r>
        <w:t xml:space="preserve">= 3 years</w:t>
      </w:r>
    </w:p>
    <w:p>
      <w:pPr>
        <w:numPr>
          <w:ilvl w:val="0"/>
          <w:numId w:val="1007"/>
        </w:numPr>
        <w:pStyle w:val="Compact"/>
      </w:pPr>
      <w:r>
        <w:rPr>
          <w:bCs/>
          <w:b/>
        </w:rPr>
        <w:t xml:space="preserve">Energy Consumption in Use:</w:t>
      </w:r>
      <w:r>
        <w:t xml:space="preserve"> </w:t>
      </w:r>
      <w:r>
        <w:rPr>
          <w:iCs/>
          <w:i/>
        </w:rPr>
        <w:t xml:space="preserve">yziluewzet</w:t>
      </w:r>
      <w:r>
        <w:t xml:space="preserve"> </w:t>
      </w:r>
      <w:r>
        <w:t xml:space="preserve">= 5 kWh/year</w:t>
      </w:r>
    </w:p>
    <w:p>
      <w:pPr>
        <w:numPr>
          <w:ilvl w:val="0"/>
          <w:numId w:val="1007"/>
        </w:numPr>
        <w:pStyle w:val="Compact"/>
      </w:pPr>
      <w:r>
        <w:rPr>
          <w:bCs/>
          <w:b/>
        </w:rPr>
        <w:t xml:space="preserve">Grid Emission Factor (Europe):</w:t>
      </w:r>
      <w:r>
        <w:t xml:space="preserve"> </w:t>
      </w:r>
      <w:r>
        <w:t xml:space="preserve">An average emission factor of 0.25 kg CO</w:t>
      </w:r>
      <w:r>
        <w:rPr>
          <w:vertAlign w:val="subscript"/>
        </w:rPr>
        <w:t xml:space="preserve">2</w:t>
      </w:r>
      <w:r>
        <w:t xml:space="preserve">e/kWh is used for electricity consumed in Europe, acknowledging regional variations. (The European average was 0.181 kg CO2/kWh in 2024, down from 0.211 kg CO2/kWh in 2023).</w:t>
      </w:r>
    </w:p>
    <w:bookmarkStart w:id="36" w:name="use-phase-data"/>
    <w:p>
      <w:pPr>
        <w:pStyle w:val="Heading3"/>
      </w:pPr>
      <w:r>
        <w:t xml:space="preserve">Use Phase Data</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Activity</w:t>
            </w:r>
          </w:p>
        </w:tc>
        <w:tc>
          <w:tcPr/>
          <w:p>
            <w:pPr>
              <w:pStyle w:val="Compact"/>
              <w:jc w:val="left"/>
            </w:pPr>
            <w:r>
              <w:t xml:space="preserve">Activity Data</w:t>
            </w:r>
          </w:p>
        </w:tc>
        <w:tc>
          <w:tcPr/>
          <w:p>
            <w:pPr>
              <w:pStyle w:val="Compact"/>
              <w:jc w:val="left"/>
            </w:pPr>
            <w:r>
              <w:t xml:space="preserve">Emission Factor (kg CO</w:t>
            </w:r>
            <w:r>
              <w:rPr>
                <w:vertAlign w:val="subscript"/>
              </w:rPr>
              <w:t xml:space="preserve">2</w:t>
            </w:r>
            <w:r>
              <w:t xml:space="preserve">e/kWh)</w:t>
            </w:r>
          </w:p>
        </w:tc>
        <w:tc>
          <w:tcPr/>
          <w:p>
            <w:pPr>
              <w:pStyle w:val="Compact"/>
              <w:jc w:val="left"/>
            </w:pPr>
            <w:r>
              <w:t xml:space="preserve">Total Emissions (kg CO</w:t>
            </w:r>
            <w:r>
              <w:rPr>
                <w:vertAlign w:val="subscript"/>
              </w:rPr>
              <w:t xml:space="preserve">2</w:t>
            </w:r>
            <w:r>
              <w:t xml:space="preserve">e)</w:t>
            </w:r>
          </w:p>
        </w:tc>
        <w:tc>
          <w:tcPr/>
          <w:p>
            <w:pPr>
              <w:pStyle w:val="Compact"/>
              <w:jc w:val="left"/>
            </w:pPr>
            <w:r>
              <w:t xml:space="preserve">Scope</w:t>
            </w:r>
          </w:p>
        </w:tc>
      </w:tr>
      <w:tr>
        <w:tc>
          <w:tcPr/>
          <w:p>
            <w:pPr>
              <w:pStyle w:val="Compact"/>
              <w:jc w:val="left"/>
            </w:pPr>
            <w:r>
              <w:t xml:space="preserve">Electricity Consumption over Lifespan</w:t>
            </w:r>
          </w:p>
        </w:tc>
        <w:tc>
          <w:tcPr/>
          <w:p>
            <w:pPr>
              <w:pStyle w:val="Compact"/>
              <w:jc w:val="left"/>
            </w:pPr>
            <w:r>
              <w:t xml:space="preserve">5 kWh/year * 3 years = 15 kWh</w:t>
            </w:r>
          </w:p>
        </w:tc>
        <w:tc>
          <w:tcPr/>
          <w:p>
            <w:pPr>
              <w:pStyle w:val="Compact"/>
              <w:jc w:val="left"/>
            </w:pPr>
            <w:r>
              <w:t xml:space="preserve">0.25 (Europe Grid Average)</w:t>
            </w:r>
          </w:p>
        </w:tc>
        <w:tc>
          <w:tcPr/>
          <w:p>
            <w:pPr>
              <w:pStyle w:val="Compact"/>
              <w:jc w:val="left"/>
            </w:pPr>
            <w:r>
              <w:t xml:space="preserve">3.75</w:t>
            </w:r>
          </w:p>
        </w:tc>
        <w:tc>
          <w:tcPr/>
          <w:p>
            <w:pPr>
              <w:pStyle w:val="Compact"/>
              <w:jc w:val="left"/>
            </w:pPr>
            <w:r>
              <w:t xml:space="preserve">Scope 3, Cat 11</w:t>
            </w:r>
          </w:p>
        </w:tc>
      </w:tr>
    </w:tbl>
    <w:bookmarkEnd w:id="36"/>
    <w:bookmarkEnd w:id="37"/>
    <w:bookmarkStart w:id="39" w:name="Xe1baf69c0f672507be3c9c52813674c8640f382"/>
    <w:p>
      <w:pPr>
        <w:pStyle w:val="Heading2"/>
      </w:pPr>
      <w:r>
        <w:t xml:space="preserve">5.5. End-of-Life (EoL) Phase (Downstream - Scope 3, Category 12)</w:t>
      </w:r>
    </w:p>
    <w:p>
      <w:pPr>
        <w:pStyle w:val="FirstParagraph"/>
      </w:pPr>
      <w:r>
        <w:t xml:space="preserve">End-of-life scenarios reflect the product\'s circularity potential.</w:t>
      </w:r>
    </w:p>
    <w:p>
      <w:pPr>
        <w:numPr>
          <w:ilvl w:val="0"/>
          <w:numId w:val="1008"/>
        </w:numPr>
        <w:pStyle w:val="Compact"/>
      </w:pPr>
      <w:r>
        <w:rPr>
          <w:bCs/>
          <w:b/>
        </w:rPr>
        <w:t xml:space="preserve">Recyclability Percentage:</w:t>
      </w:r>
      <w:r>
        <w:t xml:space="preserve"> </w:t>
      </w:r>
      <w:r>
        <w:rPr>
          <w:iCs/>
          <w:i/>
        </w:rPr>
        <w:t xml:space="preserve">rmrorzelts</w:t>
      </w:r>
      <w:r>
        <w:t xml:space="preserve"> </w:t>
      </w:r>
      <w:r>
        <w:t xml:space="preserve">= 70%</w:t>
      </w:r>
    </w:p>
    <w:p>
      <w:pPr>
        <w:numPr>
          <w:ilvl w:val="0"/>
          <w:numId w:val="1008"/>
        </w:numPr>
        <w:pStyle w:val="Compact"/>
      </w:pPr>
      <w:r>
        <w:rPr>
          <w:bCs/>
          <w:b/>
        </w:rPr>
        <w:t xml:space="preserve">Circular/Take-back Programs:</w:t>
      </w:r>
      <w:r>
        <w:t xml:space="preserve"> </w:t>
      </w:r>
      <w:r>
        <w:rPr>
          <w:iCs/>
          <w:i/>
        </w:rPr>
        <w:t xml:space="preserve">jltqortklz</w:t>
      </w:r>
      <w:r>
        <w:t xml:space="preserve"> </w:t>
      </w:r>
      <w:r>
        <w:t xml:space="preserve">(Assumed: Program exists, influencing higher recycling rates)</w:t>
      </w:r>
    </w:p>
    <w:bookmarkStart w:id="38" w:name="end-of-life-scenarios"/>
    <w:p>
      <w:pPr>
        <w:pStyle w:val="Heading3"/>
      </w:pPr>
      <w:r>
        <w:t xml:space="preserve">End-of-Life Scenarios</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Scenario</w:t>
            </w:r>
          </w:p>
        </w:tc>
        <w:tc>
          <w:tcPr/>
          <w:p>
            <w:pPr>
              <w:pStyle w:val="Compact"/>
              <w:jc w:val="left"/>
            </w:pPr>
            <w:r>
              <w:t xml:space="preserve">Mass (kg/unit)</w:t>
            </w:r>
          </w:p>
        </w:tc>
        <w:tc>
          <w:tcPr/>
          <w:p>
            <w:pPr>
              <w:pStyle w:val="Compact"/>
              <w:jc w:val="left"/>
            </w:pPr>
            <w:r>
              <w:t xml:space="preserve">Emission Factor (kg CO</w:t>
            </w:r>
            <w:r>
              <w:rPr>
                <w:vertAlign w:val="subscript"/>
              </w:rPr>
              <w:t xml:space="preserve">2</w:t>
            </w:r>
            <w:r>
              <w:t xml:space="preserve">e/kg)</w:t>
            </w:r>
          </w:p>
        </w:tc>
        <w:tc>
          <w:tcPr/>
          <w:p>
            <w:pPr>
              <w:pStyle w:val="Compact"/>
              <w:jc w:val="left"/>
            </w:pPr>
            <w:r>
              <w:t xml:space="preserve">Total Emissions (kg CO</w:t>
            </w:r>
            <w:r>
              <w:rPr>
                <w:vertAlign w:val="subscript"/>
              </w:rPr>
              <w:t xml:space="preserve">2</w:t>
            </w:r>
            <w:r>
              <w:t xml:space="preserve">e)</w:t>
            </w:r>
          </w:p>
        </w:tc>
        <w:tc>
          <w:tcPr/>
          <w:p>
            <w:pPr>
              <w:pStyle w:val="Compact"/>
              <w:jc w:val="left"/>
            </w:pPr>
            <w:r>
              <w:t xml:space="preserve">Scope</w:t>
            </w:r>
          </w:p>
        </w:tc>
      </w:tr>
      <w:tr>
        <w:tc>
          <w:tcPr/>
          <w:p>
            <w:pPr>
              <w:pStyle w:val="Compact"/>
              <w:jc w:val="left"/>
            </w:pPr>
            <w:r>
              <w:t xml:space="preserve">Recycling (70%)</w:t>
            </w:r>
          </w:p>
        </w:tc>
        <w:tc>
          <w:tcPr/>
          <w:p>
            <w:pPr>
              <w:pStyle w:val="Compact"/>
              <w:jc w:val="left"/>
            </w:pPr>
            <w:r>
              <w:t xml:space="preserve">1.05 (70% of 1.5 kg total product mass)</w:t>
            </w:r>
          </w:p>
        </w:tc>
        <w:tc>
          <w:tcPr/>
          <w:p>
            <w:pPr>
              <w:pStyle w:val="Compact"/>
              <w:jc w:val="left"/>
            </w:pPr>
            <w:r>
              <w:t xml:space="preserve">-0.50 (Credit for material recovery)</w:t>
            </w:r>
          </w:p>
        </w:tc>
        <w:tc>
          <w:tcPr/>
          <w:p>
            <w:pPr>
              <w:pStyle w:val="Compact"/>
              <w:jc w:val="left"/>
            </w:pPr>
            <w:r>
              <w:t xml:space="preserve">-0.53</w:t>
            </w:r>
          </w:p>
        </w:tc>
        <w:tc>
          <w:tcPr/>
          <w:p>
            <w:pPr>
              <w:pStyle w:val="Compact"/>
              <w:jc w:val="left"/>
            </w:pPr>
            <w:r>
              <w:t xml:space="preserve">Scope 3, Cat 12</w:t>
            </w:r>
          </w:p>
        </w:tc>
      </w:tr>
      <w:tr>
        <w:tc>
          <w:tcPr/>
          <w:p>
            <w:pPr>
              <w:pStyle w:val="Compact"/>
              <w:jc w:val="left"/>
            </w:pPr>
            <w:r>
              <w:t xml:space="preserve">Incineration/Landfill (30%)</w:t>
            </w:r>
          </w:p>
        </w:tc>
        <w:tc>
          <w:tcPr/>
          <w:p>
            <w:pPr>
              <w:pStyle w:val="Compact"/>
              <w:jc w:val="left"/>
            </w:pPr>
            <w:r>
              <w:t xml:space="preserve">0.45 (30% of 1.5 kg total product mass)</w:t>
            </w:r>
          </w:p>
        </w:tc>
        <w:tc>
          <w:tcPr/>
          <w:p>
            <w:pPr>
              <w:pStyle w:val="Compact"/>
              <w:jc w:val="left"/>
            </w:pPr>
            <w:r>
              <w:t xml:space="preserve">1.20 (Average for mixed waste)</w:t>
            </w:r>
          </w:p>
        </w:tc>
        <w:tc>
          <w:tcPr/>
          <w:p>
            <w:pPr>
              <w:pStyle w:val="Compact"/>
              <w:jc w:val="left"/>
            </w:pPr>
            <w:r>
              <w:t xml:space="preserve">0.54</w:t>
            </w:r>
          </w:p>
        </w:tc>
        <w:tc>
          <w:tcPr/>
          <w:p>
            <w:pPr>
              <w:pStyle w:val="Compact"/>
              <w:jc w:val="left"/>
            </w:pPr>
            <w:r>
              <w:t xml:space="preserve">Scope 3, Cat 12</w:t>
            </w:r>
          </w:p>
        </w:tc>
      </w:tr>
    </w:tbl>
    <w:p>
      <w:pPr>
        <w:pStyle w:val="BodyText"/>
      </w:pPr>
      <w:r>
        <w:rPr>
          <w:iCs/>
          <w:i/>
        </w:rPr>
        <w:t xml:space="preserve">Note: Recycling often provides a credit by offsetting the emissions of producing virgin materials. Incineration and landfill incur emissions, though the presence of circular/take-back programs (jltqortklz) helps maximize recycling and minimize waste.</w:t>
      </w:r>
    </w:p>
    <w:p>
      <w:r>
        <w:pict>
          <v:rect style="width:0;height:1.5pt" o:hralign="center" o:hrstd="t" o:hr="t"/>
        </w:pict>
      </w:r>
    </w:p>
    <w:bookmarkEnd w:id="38"/>
    <w:bookmarkEnd w:id="39"/>
    <w:bookmarkEnd w:id="40"/>
    <w:bookmarkStart w:id="44" w:name="step-4-calculate-emissions"/>
    <w:p>
      <w:pPr>
        <w:pStyle w:val="Heading1"/>
      </w:pPr>
      <w:r>
        <w:t xml:space="preserve">6. Step 4: Calculate Emissions</w:t>
      </w:r>
    </w:p>
    <w:p>
      <w:pPr>
        <w:pStyle w:val="FirstParagraph"/>
      </w:pPr>
      <w:r>
        <w:t xml:space="preserve">The total Product Carbon Footprint for</w:t>
      </w:r>
      <w:r>
        <w:t xml:space="preserve"> </w:t>
      </w:r>
      <w:r>
        <w:rPr>
          <w:bCs/>
          <w:b/>
        </w:rPr>
        <w:t xml:space="preserve">mxzmgdvnwl</w:t>
      </w:r>
      <w:r>
        <w:t xml:space="preserve"> </w:t>
      </w:r>
      <w:r>
        <w:t xml:space="preserve">is calculated by summing the emissions across all lifecycle stages and categorized by GHG Protocol scopes. All calculations are performed on a 1.0 unit functional basis.</w:t>
      </w:r>
    </w:p>
    <w:bookmarkStart w:id="42" w:name="summary-of-ghg-emissions-by-scope"/>
    <w:p>
      <w:pPr>
        <w:pStyle w:val="Heading2"/>
      </w:pPr>
      <w:r>
        <w:t xml:space="preserve">6.1. Summary of GHG Emissions by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Life Cycle Stage</w:t>
            </w:r>
          </w:p>
        </w:tc>
        <w:tc>
          <w:tcPr/>
          <w:p>
            <w:pPr>
              <w:pStyle w:val="Compact"/>
              <w:jc w:val="left"/>
            </w:pPr>
            <w:r>
              <w:t xml:space="preserve">Total Emissions (kg CO</w:t>
            </w:r>
            <w:r>
              <w:rPr>
                <w:vertAlign w:val="subscript"/>
              </w:rPr>
              <w:t xml:space="preserve">2</w:t>
            </w:r>
            <w:r>
              <w:t xml:space="preserve">e/unit)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Manufacturing (On-site fuel combustion)</w:t>
            </w:r>
          </w:p>
        </w:tc>
        <w:tc>
          <w:tcPr/>
          <w:p>
            <w:pPr>
              <w:pStyle w:val="Compact"/>
              <w:jc w:val="left"/>
            </w:pPr>
            <w:r>
              <w:t xml:space="preserve">0.03</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Manufacturing (Grid Electricity)</w:t>
            </w:r>
          </w:p>
        </w:tc>
        <w:tc>
          <w:tcPr/>
          <w:p>
            <w:pPr>
              <w:pStyle w:val="Compact"/>
              <w:jc w:val="left"/>
            </w:pPr>
            <w:r>
              <w:t xml:space="preserve">4.29</w:t>
            </w:r>
          </w:p>
        </w:tc>
      </w:tr>
      <w:tr>
        <w:tc>
          <w:tcPr>
            <w:vMerge w:val="restart"/>
          </w:tcPr>
          <w:p>
            <w:pPr>
              <w:pStyle w:val="Compact"/>
              <w:jc w:val="left"/>
            </w:pPr>
            <w:r>
              <w:t xml:space="preserve">Scope 3</w:t>
            </w:r>
          </w:p>
        </w:tc>
        <w:tc>
          <w:tcPr/>
          <w:p>
            <w:pPr>
              <w:pStyle w:val="Compact"/>
              <w:jc w:val="left"/>
            </w:pPr>
            <w:r>
              <w:t xml:space="preserve">Category 1: Purchased Goods &amp; Services</w:t>
            </w:r>
          </w:p>
        </w:tc>
        <w:tc>
          <w:tcPr/>
          <w:p>
            <w:pPr>
              <w:pStyle w:val="Compact"/>
              <w:jc w:val="left"/>
            </w:pPr>
            <w:r>
              <w:t xml:space="preserve">Material Acquisition</w:t>
            </w:r>
          </w:p>
        </w:tc>
        <w:tc>
          <w:tcPr/>
          <w:p>
            <w:pPr>
              <w:pStyle w:val="Compact"/>
              <w:jc w:val="left"/>
            </w:pPr>
            <w:r>
              <w:t xml:space="preserve">16.05</w:t>
            </w:r>
          </w:p>
        </w:tc>
      </w:tr>
      <w:tr>
        <w:tc>
          <w:tcPr>
            <w:gridSpan w:val="1"/>
            <w:vMerge w:val="continue"/>
          </w:tcPr>
          <w:p>
            <w:pPr/>
          </w:p>
        </w:tc>
        <w:tc>
          <w:tcPr/>
          <w:p>
            <w:pPr>
              <w:pStyle w:val="Compact"/>
              <w:jc w:val="left"/>
            </w:pPr>
            <w:r>
              <w:t xml:space="preserve">Category 4: Upstream Transportation &amp; Distribution</w:t>
            </w:r>
          </w:p>
        </w:tc>
        <w:tc>
          <w:tcPr/>
          <w:p>
            <w:pPr>
              <w:pStyle w:val="Compact"/>
              <w:jc w:val="left"/>
            </w:pPr>
            <w:r>
              <w:t xml:space="preserve">Materials Transport to Factory</w:t>
            </w:r>
          </w:p>
        </w:tc>
        <w:tc>
          <w:tcPr/>
          <w:p>
            <w:pPr>
              <w:pStyle w:val="Compact"/>
              <w:jc w:val="left"/>
            </w:pPr>
            <w:r>
              <w:t xml:space="preserve">0.03</w:t>
            </w:r>
          </w:p>
        </w:tc>
      </w:tr>
      <w:tr>
        <w:tc>
          <w:tcPr>
            <w:gridSpan w:val="1"/>
            <w:vMerge w:val="continue"/>
          </w:tcPr>
          <w:p>
            <w:pPr/>
          </w:p>
        </w:tc>
        <w:tc>
          <w:tcPr/>
          <w:p>
            <w:pPr>
              <w:pStyle w:val="Compact"/>
              <w:jc w:val="left"/>
            </w:pPr>
            <w:r>
              <w:t xml:space="preserve">Category 9: Downstream Transportation &amp; Distribution</w:t>
            </w:r>
          </w:p>
        </w:tc>
        <w:tc>
          <w:tcPr/>
          <w:p>
            <w:pPr>
              <w:pStyle w:val="Compact"/>
              <w:jc w:val="left"/>
            </w:pPr>
            <w:r>
              <w:t xml:space="preserve">Product Transport to Customer</w:t>
            </w:r>
          </w:p>
        </w:tc>
        <w:tc>
          <w:tcPr/>
          <w:p>
            <w:pPr>
              <w:pStyle w:val="Compact"/>
              <w:jc w:val="left"/>
            </w:pPr>
            <w:r>
              <w:t xml:space="preserve">0.23 + 0.07 + 0.02 = 0.32</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Product Use Phase</w:t>
            </w:r>
          </w:p>
        </w:tc>
        <w:tc>
          <w:tcPr/>
          <w:p>
            <w:pPr>
              <w:pStyle w:val="Compact"/>
              <w:jc w:val="left"/>
            </w:pPr>
            <w:r>
              <w:t xml:space="preserve">3.75</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End-of-Life Phase</w:t>
            </w:r>
          </w:p>
        </w:tc>
        <w:tc>
          <w:tcPr/>
          <w:p>
            <w:pPr>
              <w:pStyle w:val="Compact"/>
              <w:jc w:val="left"/>
            </w:pPr>
            <w:r>
              <w:t xml:space="preserve">-0.53 + 0.54 = 0.01</w:t>
            </w:r>
          </w:p>
        </w:tc>
      </w:tr>
    </w:tbl>
    <w:bookmarkStart w:id="41" w:name="X05936395c8c890a289acbc6f6653639de3249bc"/>
    <w:p>
      <w:pPr>
        <w:pStyle w:val="Heading3"/>
      </w:pPr>
      <w:r>
        <w:t xml:space="preserve">Total Product Carbon Footprint (PCF) for mxzmgdvnwl</w:t>
      </w:r>
    </w:p>
    <w:p>
      <w:pPr>
        <w:pStyle w:val="FirstParagraph"/>
      </w:pPr>
      <w:r>
        <w:rPr>
          <w:bCs/>
          <w:b/>
        </w:rPr>
        <w:t xml:space="preserve">Total PCF = 0.03 (Scope 1) + 4.29 (Scope 2) + 16.05 + 0.03 + 0.32 + 3.75 + 0.01 (Scope 3) = 24.48 kg CO</w:t>
      </w:r>
      <w:r>
        <w:rPr>
          <w:vertAlign w:val="subscript"/>
          <w:bCs/>
          <w:b/>
        </w:rPr>
        <w:t xml:space="preserve">2</w:t>
      </w:r>
      <w:r>
        <w:rPr>
          <w:bCs/>
          <w:b/>
        </w:rPr>
        <w:t xml:space="preserve">e per unit of mxzmgdvnwl</w:t>
      </w:r>
    </w:p>
    <w:bookmarkEnd w:id="41"/>
    <w:bookmarkEnd w:id="42"/>
    <w:bookmarkStart w:id="43" w:name="scope-3-coverage-analysis"/>
    <w:p>
      <w:pPr>
        <w:pStyle w:val="Heading2"/>
      </w:pPr>
      <w:r>
        <w:t xml:space="preserve">6.2. Scope 3 Coverage Analysis</w:t>
      </w:r>
    </w:p>
    <w:p>
      <w:pPr>
        <w:pStyle w:val="FirstParagraph"/>
      </w:pPr>
      <w:r>
        <w:t xml:space="preserve">Based on the provided parameters, the Scope 3 emissions analyzed include Purchased Goods &amp; Services (Category 1), Upstream Transportation &amp; Distribution (Category 4), Downstream Transportation &amp; Distribution (Category 9), Use of Sold Products (Category 11), and End-of-Life Treatment of Sold Products (Category 12). These categories typically represent the most significant contributions to a product\'s value chain emissions. The aim is to achieve at least 95% coverage of required Scope 3 emissions, as mandated by the 2026 GHG Protocol revisions. Given the detailed BOM, logistics, use phase, and EoL data, this analysis provides substantial coverage. Any minor, less material Scope 3 categories are assumed to fall within the 5% exclusion threshold.</w:t>
      </w:r>
    </w:p>
    <w:p>
      <w:r>
        <w:pict>
          <v:rect style="width:0;height:1.5pt" o:hralign="center" o:hrstd="t" o:hr="t"/>
        </w:pict>
      </w:r>
    </w:p>
    <w:bookmarkEnd w:id="43"/>
    <w:bookmarkEnd w:id="44"/>
    <w:bookmarkStart w:id="47" w:name="step-5-review-report"/>
    <w:p>
      <w:pPr>
        <w:pStyle w:val="Heading1"/>
      </w:pPr>
      <w:r>
        <w:t xml:space="preserve">7. Step 5: Review &amp; Report</w:t>
      </w:r>
    </w:p>
    <w:bookmarkStart w:id="45" w:name="hotspot-identification"/>
    <w:p>
      <w:pPr>
        <w:pStyle w:val="Heading2"/>
      </w:pPr>
      <w:r>
        <w:t xml:space="preserve">7.1. Hotspot Identification</w:t>
      </w:r>
    </w:p>
    <w:p>
      <w:pPr>
        <w:pStyle w:val="FirstParagraph"/>
      </w:pPr>
      <w:r>
        <w:t xml:space="preserve">The primary hotspots for the</w:t>
      </w:r>
      <w:r>
        <w:t xml:space="preserve"> </w:t>
      </w:r>
      <w:r>
        <w:rPr>
          <w:bCs/>
          <w:b/>
        </w:rPr>
        <w:t xml:space="preserve">mxzmgdvnwl</w:t>
      </w:r>
      <w:r>
        <w:t xml:space="preserve"> </w:t>
      </w:r>
      <w:r>
        <w:t xml:space="preserve">product\'s carbon footprint are:</w:t>
      </w:r>
    </w:p>
    <w:p>
      <w:pPr>
        <w:numPr>
          <w:ilvl w:val="0"/>
          <w:numId w:val="1009"/>
        </w:numPr>
        <w:pStyle w:val="Compact"/>
      </w:pPr>
      <w:r>
        <w:rPr>
          <w:bCs/>
          <w:b/>
        </w:rPr>
        <w:t xml:space="preserve">Material Acquisition (Scope 3, Category 1):</w:t>
      </w:r>
      <w:r>
        <w:t xml:space="preserve"> </w:t>
      </w:r>
      <w:r>
        <w:t xml:space="preserve">This stage accounts for the largest portion of emissions (16.05 kg CO</w:t>
      </w:r>
      <w:r>
        <w:rPr>
          <w:vertAlign w:val="subscript"/>
        </w:rPr>
        <w:t xml:space="preserve">2</w:t>
      </w:r>
      <w:r>
        <w:t xml:space="preserve">e), primarily driven by the production of components like the display screen, ABS plastic, and the lithium-ion battery.</w:t>
      </w:r>
    </w:p>
    <w:p>
      <w:pPr>
        <w:numPr>
          <w:ilvl w:val="0"/>
          <w:numId w:val="1009"/>
        </w:numPr>
        <w:pStyle w:val="Compact"/>
      </w:pPr>
      <w:r>
        <w:rPr>
          <w:bCs/>
          <w:b/>
        </w:rPr>
        <w:t xml:space="preserve">Manufacturing Energy (Scope 2):</w:t>
      </w:r>
      <w:r>
        <w:t xml:space="preserve"> </w:t>
      </w:r>
      <w:r>
        <w:t xml:space="preserve">Purchased electricity for production in China contributes significantly (4.29 kg CO</w:t>
      </w:r>
      <w:r>
        <w:rPr>
          <w:vertAlign w:val="subscript"/>
        </w:rPr>
        <w:t xml:space="preserve">2</w:t>
      </w:r>
      <w:r>
        <w:t xml:space="preserve">e), despite 30% renewable energy usage. The high carbon intensity of the Chinese grid is a key factor.</w:t>
      </w:r>
    </w:p>
    <w:p>
      <w:pPr>
        <w:numPr>
          <w:ilvl w:val="0"/>
          <w:numId w:val="1009"/>
        </w:numPr>
        <w:pStyle w:val="Compact"/>
      </w:pPr>
      <w:r>
        <w:rPr>
          <w:bCs/>
          <w:b/>
        </w:rPr>
        <w:t xml:space="preserve">Use Phase (Scope 3, Category 11):</w:t>
      </w:r>
      <w:r>
        <w:t xml:space="preserve"> </w:t>
      </w:r>
      <w:r>
        <w:t xml:space="preserve">Energy consumption during the product\'s 3-year lifespan adds a substantial 3.75 kg CO</w:t>
      </w:r>
      <w:r>
        <w:rPr>
          <w:vertAlign w:val="subscript"/>
        </w:rPr>
        <w:t xml:space="preserve">2</w:t>
      </w:r>
      <w:r>
        <w:t xml:space="preserve">e.</w:t>
      </w:r>
    </w:p>
    <w:bookmarkEnd w:id="45"/>
    <w:bookmarkStart w:id="46" w:name="reliability-assessment"/>
    <w:p>
      <w:pPr>
        <w:pStyle w:val="Heading2"/>
      </w:pPr>
      <w:r>
        <w:t xml:space="preserve">7.2. Reliability Assessment</w:t>
      </w:r>
    </w:p>
    <w:p>
      <w:pPr>
        <w:pStyle w:val="FirstParagraph"/>
      </w:pPr>
      <w:r>
        <w:t xml:space="preserve">The reliability of this PCF analysis is considered high due to the use of specific, detailed primary data where available (e.g., BOM \'Total Carbon\' values, energy intensity) and adherence to recognized accounting standards (GHG Protocol). Secondary data, such as industry-standard emission factors from Ecoinvent and DEFRA, have been applied for consistency and completeness. The methodology accounts for recent GHG Protocol updates, including the LSR Standard and the ambitious 95% Scope 3 coverage target, enhancing the robustness of the assessment.</w:t>
      </w:r>
    </w:p>
    <w:p>
      <w:pPr>
        <w:pStyle w:val="BodyText"/>
      </w:pPr>
      <w:r>
        <w:t xml:space="preserve">However, like all PCF analyses, certain limitations exist:</w:t>
      </w:r>
    </w:p>
    <w:p>
      <w:pPr>
        <w:numPr>
          <w:ilvl w:val="0"/>
          <w:numId w:val="1010"/>
        </w:numPr>
        <w:pStyle w:val="Compact"/>
      </w:pPr>
      <w:r>
        <w:t xml:space="preserve">Reliance on generic regional grid emission factors for China and Europe.</w:t>
      </w:r>
    </w:p>
    <w:p>
      <w:pPr>
        <w:numPr>
          <w:ilvl w:val="0"/>
          <w:numId w:val="1010"/>
        </w:numPr>
        <w:pStyle w:val="Compact"/>
      </w:pPr>
      <w:r>
        <w:t xml:space="preserve">Assumptions made for transport modes, distances, and specific emission factors where primary data for</w:t>
      </w:r>
      <w:r>
        <w:t xml:space="preserve"> </w:t>
      </w:r>
      <w:r>
        <w:rPr>
          <w:iCs/>
          <w:i/>
        </w:rPr>
        <w:t xml:space="preserve">Select Mode, iddkueiomu, Delivery Type</w:t>
      </w:r>
      <w:r>
        <w:t xml:space="preserve"> </w:t>
      </w:r>
      <w:r>
        <w:t xml:space="preserve">were placeholders.</w:t>
      </w:r>
    </w:p>
    <w:p>
      <w:pPr>
        <w:numPr>
          <w:ilvl w:val="0"/>
          <w:numId w:val="1010"/>
        </w:numPr>
        <w:pStyle w:val="Compact"/>
      </w:pPr>
      <w:r>
        <w:t xml:space="preserve">General industry-average factors for end-of-life processes.</w:t>
      </w:r>
    </w:p>
    <w:p>
      <w:pPr>
        <w:pStyle w:val="FirstParagraph"/>
      </w:pPr>
      <w:r>
        <w:t xml:space="preserve">To further enhance reliability,</w:t>
      </w:r>
      <w:r>
        <w:t xml:space="preserve"> </w:t>
      </w:r>
      <w:r>
        <w:rPr>
          <w:bCs/>
          <w:b/>
        </w:rPr>
        <w:t xml:space="preserve">jzmklypkep</w:t>
      </w:r>
      <w:r>
        <w:t xml:space="preserve"> </w:t>
      </w:r>
      <w:r>
        <w:t xml:space="preserve">should strive to collect more primary data from its suppliers for upstream materials and specific logistics routes.</w:t>
      </w:r>
    </w:p>
    <w:p>
      <w:r>
        <w:pict>
          <v:rect style="width:0;height:1.5pt" o:hralign="center" o:hrstd="t" o:hr="t"/>
        </w:pict>
      </w:r>
    </w:p>
    <w:bookmarkEnd w:id="46"/>
    <w:bookmarkEnd w:id="47"/>
    <w:bookmarkStart w:id="50" w:name="conclusion-and-recommendations"/>
    <w:p>
      <w:pPr>
        <w:pStyle w:val="Heading1"/>
      </w:pPr>
      <w:r>
        <w:t xml:space="preserve">8. Conclusion and Recommendations</w:t>
      </w:r>
    </w:p>
    <w:p>
      <w:pPr>
        <w:pStyle w:val="FirstParagraph"/>
      </w:pPr>
      <w:r>
        <w:t xml:space="preserve">The Product Carbon Footprint for</w:t>
      </w:r>
      <w:r>
        <w:t xml:space="preserve"> </w:t>
      </w:r>
      <w:r>
        <w:rPr>
          <w:bCs/>
          <w:b/>
        </w:rPr>
        <w:t xml:space="preserve">mxzmgdvnwl</w:t>
      </w:r>
      <w:r>
        <w:t xml:space="preserve"> </w:t>
      </w:r>
      <w:r>
        <w:t xml:space="preserve">is determined to be</w:t>
      </w:r>
      <w:r>
        <w:t xml:space="preserve"> </w:t>
      </w:r>
      <w:r>
        <w:rPr>
          <w:bCs/>
          <w:b/>
        </w:rPr>
        <w:t xml:space="preserve">24.48 kg CO</w:t>
      </w:r>
      <w:r>
        <w:rPr>
          <w:vertAlign w:val="subscript"/>
          <w:bCs/>
          <w:b/>
        </w:rPr>
        <w:t xml:space="preserve">2</w:t>
      </w:r>
      <w:r>
        <w:rPr>
          <w:bCs/>
          <w:b/>
        </w:rPr>
        <w:t xml:space="preserve">e per unit</w:t>
      </w:r>
      <w:r>
        <w:t xml:space="preserve">, with material acquisition, manufacturing energy, and the use phase being the most significant contributors.</w:t>
      </w:r>
    </w:p>
    <w:bookmarkStart w:id="49" w:name="recommendations-for-emission-reduction"/>
    <w:p>
      <w:pPr>
        <w:pStyle w:val="Heading2"/>
      </w:pPr>
      <w:r>
        <w:t xml:space="preserve">Recommendations for Emission Reduction:</w:t>
      </w:r>
    </w:p>
    <w:p>
      <w:pPr>
        <w:numPr>
          <w:ilvl w:val="0"/>
          <w:numId w:val="1011"/>
        </w:numPr>
        <w:pStyle w:val="Compact"/>
      </w:pPr>
      <w:r>
        <w:rPr>
          <w:bCs/>
          <w:b/>
        </w:rPr>
        <w:t xml:space="preserve">Material Optimization:</w:t>
      </w:r>
    </w:p>
    <w:p>
      <w:pPr>
        <w:numPr>
          <w:ilvl w:val="1"/>
          <w:numId w:val="1012"/>
        </w:numPr>
        <w:pStyle w:val="Compact"/>
      </w:pPr>
      <w:r>
        <w:t xml:space="preserve">Explore alternative, lower-carbon materials for the casing (e.g., recycled content plastics with lower embodied carbon) and other high-impact components.</w:t>
      </w:r>
    </w:p>
    <w:p>
      <w:pPr>
        <w:numPr>
          <w:ilvl w:val="1"/>
          <w:numId w:val="1012"/>
        </w:numPr>
        <w:pStyle w:val="Compact"/>
      </w:pPr>
      <w:r>
        <w:t xml:space="preserve">Engage with suppliers to gain more specific, primary data on component manufacturing emissions and encourage their decarbonization efforts.</w:t>
      </w:r>
    </w:p>
    <w:p>
      <w:pPr>
        <w:numPr>
          <w:ilvl w:val="0"/>
          <w:numId w:val="1011"/>
        </w:numPr>
        <w:pStyle w:val="Compact"/>
      </w:pPr>
      <w:r>
        <w:rPr>
          <w:bCs/>
          <w:b/>
        </w:rPr>
        <w:t xml:space="preserve">Renewable Energy Sourcing:</w:t>
      </w:r>
    </w:p>
    <w:p>
      <w:pPr>
        <w:numPr>
          <w:ilvl w:val="1"/>
          <w:numId w:val="1013"/>
        </w:numPr>
        <w:pStyle w:val="Compact"/>
      </w:pPr>
      <w:r>
        <w:t xml:space="preserve">Increase the share of renewable energy at the manufacturing facility in China (beyond the current</w:t>
      </w:r>
      <w:r>
        <w:t xml:space="preserve"> </w:t>
      </w:r>
      <w:r>
        <w:rPr>
          <w:iCs/>
          <w:i/>
        </w:rPr>
        <w:t xml:space="preserve">ioldntzyuw</w:t>
      </w:r>
      <w:r>
        <w:t xml:space="preserve"> </w:t>
      </w:r>
      <w:r>
        <w:t xml:space="preserve">of 30%) through direct sourcing, power purchase agreements (PPAs), or renewable energy certificates (RECs).</w:t>
      </w:r>
    </w:p>
    <w:p>
      <w:pPr>
        <w:numPr>
          <w:ilvl w:val="1"/>
          <w:numId w:val="1013"/>
        </w:numPr>
        <w:pStyle w:val="Compact"/>
      </w:pPr>
      <w:r>
        <w:t xml:space="preserve">Investigate the feasibility of on-site renewable energy generation.</w:t>
      </w:r>
    </w:p>
    <w:p>
      <w:pPr>
        <w:numPr>
          <w:ilvl w:val="0"/>
          <w:numId w:val="1011"/>
        </w:numPr>
        <w:pStyle w:val="Compact"/>
      </w:pPr>
      <w:r>
        <w:rPr>
          <w:bCs/>
          <w:b/>
        </w:rPr>
        <w:t xml:space="preserve">Energy Efficiency in Manufacturing:</w:t>
      </w:r>
    </w:p>
    <w:p>
      <w:pPr>
        <w:numPr>
          <w:ilvl w:val="1"/>
          <w:numId w:val="1014"/>
        </w:numPr>
        <w:pStyle w:val="Compact"/>
      </w:pPr>
      <w:r>
        <w:t xml:space="preserve">Implement energy efficiency measures at the production facility to reduce overall energy intensity (</w:t>
      </w:r>
      <w:r>
        <w:rPr>
          <w:iCs/>
          <w:i/>
        </w:rPr>
        <w:t xml:space="preserve">luzjhslpyu</w:t>
      </w:r>
      <w:r>
        <w:t xml:space="preserve">) per unit.</w:t>
      </w:r>
    </w:p>
    <w:p>
      <w:pPr>
        <w:numPr>
          <w:ilvl w:val="0"/>
          <w:numId w:val="1011"/>
        </w:numPr>
        <w:pStyle w:val="Compact"/>
      </w:pPr>
      <w:r>
        <w:rPr>
          <w:bCs/>
          <w:b/>
        </w:rPr>
        <w:t xml:space="preserve">Use Phase Energy Optimization:</w:t>
      </w:r>
    </w:p>
    <w:p>
      <w:pPr>
        <w:numPr>
          <w:ilvl w:val="1"/>
          <w:numId w:val="1015"/>
        </w:numPr>
        <w:pStyle w:val="Compact"/>
      </w:pPr>
      <w:r>
        <w:t xml:space="preserve">Design</w:t>
      </w:r>
      <w:r>
        <w:t xml:space="preserve"> </w:t>
      </w:r>
      <w:r>
        <w:rPr>
          <w:bCs/>
          <w:b/>
        </w:rPr>
        <w:t xml:space="preserve">mxzmgdvnwl</w:t>
      </w:r>
      <w:r>
        <w:t xml:space="preserve"> </w:t>
      </w:r>
      <w:r>
        <w:t xml:space="preserve">for even greater energy efficiency during its operational life to reduce</w:t>
      </w:r>
      <w:r>
        <w:t xml:space="preserve"> </w:t>
      </w:r>
      <w:r>
        <w:rPr>
          <w:iCs/>
          <w:i/>
        </w:rPr>
        <w:t xml:space="preserve">yziluewzet</w:t>
      </w:r>
      <w:r>
        <w:t xml:space="preserve">.</w:t>
      </w:r>
    </w:p>
    <w:p>
      <w:pPr>
        <w:numPr>
          <w:ilvl w:val="1"/>
          <w:numId w:val="1015"/>
        </w:numPr>
        <w:pStyle w:val="Compact"/>
      </w:pPr>
      <w:r>
        <w:t xml:space="preserve">Educate consumers on energy-efficient usage patterns.</w:t>
      </w:r>
    </w:p>
    <w:p>
      <w:pPr>
        <w:numPr>
          <w:ilvl w:val="0"/>
          <w:numId w:val="1011"/>
        </w:numPr>
        <w:pStyle w:val="Compact"/>
      </w:pPr>
      <w:r>
        <w:rPr>
          <w:bCs/>
          <w:b/>
        </w:rPr>
        <w:t xml:space="preserve">Enhanced Circularity:</w:t>
      </w:r>
    </w:p>
    <w:p>
      <w:pPr>
        <w:numPr>
          <w:ilvl w:val="1"/>
          <w:numId w:val="1016"/>
        </w:numPr>
        <w:pStyle w:val="Compact"/>
      </w:pPr>
      <w:r>
        <w:t xml:space="preserve">Further develop and promote take-back and recycling programs (</w:t>
      </w:r>
      <w:r>
        <w:rPr>
          <w:iCs/>
          <w:i/>
        </w:rPr>
        <w:t xml:space="preserve">jltqortklz</w:t>
      </w:r>
      <w:r>
        <w:t xml:space="preserve">) to increase the effective recyclability percentage (</w:t>
      </w:r>
      <w:r>
        <w:rPr>
          <w:iCs/>
          <w:i/>
        </w:rPr>
        <w:t xml:space="preserve">rmrorzelts</w:t>
      </w:r>
      <w:r>
        <w:t xml:space="preserve">) beyond 70%.</w:t>
      </w:r>
    </w:p>
    <w:p>
      <w:pPr>
        <w:numPr>
          <w:ilvl w:val="1"/>
          <w:numId w:val="1016"/>
        </w:numPr>
        <w:pStyle w:val="Compact"/>
      </w:pPr>
      <w:r>
        <w:t xml:space="preserve">Explore design-for-disassembly and modularity to facilitate easier recycling and component reuse.</w:t>
      </w:r>
    </w:p>
    <w:p>
      <w:pPr>
        <w:numPr>
          <w:ilvl w:val="0"/>
          <w:numId w:val="1011"/>
        </w:numPr>
        <w:pStyle w:val="Compact"/>
      </w:pPr>
      <w:r>
        <w:rPr>
          <w:bCs/>
          <w:b/>
        </w:rPr>
        <w:t xml:space="preserve">Supply Chain Engagement:</w:t>
      </w:r>
    </w:p>
    <w:p>
      <w:pPr>
        <w:numPr>
          <w:ilvl w:val="1"/>
          <w:numId w:val="1017"/>
        </w:numPr>
        <w:pStyle w:val="Compact"/>
      </w:pPr>
      <w:r>
        <w:t xml:space="preserve">Collaborate with logistics providers to optimize transport routes, utilize lower-emission modes (e.g., rail over road where feasible in Europe), and encourage fleets using biofuels or electric vehicles.</w:t>
      </w:r>
    </w:p>
    <w:p>
      <w:pPr>
        <w:numPr>
          <w:ilvl w:val="1"/>
          <w:numId w:val="1017"/>
        </w:numPr>
        <w:pStyle w:val="Compact"/>
      </w:pPr>
      <w:r>
        <w:t xml:space="preserve">Work with suppliers to improve their own carbon accounting and reduction initiatives to lower upstream Scope 3 emissions.</w:t>
      </w:r>
    </w:p>
    <w:p>
      <w:pPr>
        <w:pStyle w:val="FirstParagraph"/>
      </w:pPr>
      <w:r>
        <w:t xml:space="preserve">By focusing on these areas,</w:t>
      </w:r>
      <w:r>
        <w:t xml:space="preserve"> </w:t>
      </w:r>
      <w:r>
        <w:rPr>
          <w:bCs/>
          <w:b/>
        </w:rPr>
        <w:t xml:space="preserve">jzmklypkep</w:t>
      </w:r>
      <w:r>
        <w:t xml:space="preserve"> </w:t>
      </w:r>
      <w:r>
        <w:t xml:space="preserve">can strategically reduce the environmental footprint of</w:t>
      </w:r>
      <w:r>
        <w:t xml:space="preserve"> </w:t>
      </w:r>
      <w:r>
        <w:rPr>
          <w:bCs/>
          <w:b/>
        </w:rPr>
        <w:t xml:space="preserve">mxzmgdvnwl</w:t>
      </w:r>
      <w:r>
        <w:t xml:space="preserve"> </w:t>
      </w:r>
      <w:r>
        <w:t xml:space="preserve">and demonstrate leadership in product sustainability.</w:t>
      </w:r>
    </w:p>
    <w:p>
      <w:pPr>
        <w:pStyle w:val="BodyText"/>
      </w:pPr>
      <w:r>
        <w:t xml:space="preserve">Confidential - Internal Use Only | Page</w:t>
      </w:r>
      <w:r>
        <w:t xml:space="preserve"> </w:t>
      </w:r>
      <w:bookmarkStart w:id="48" w:name="page-number"/>
      <w:bookmarkEnd w:id="48"/>
    </w:p>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mxzmgdvnwl</dc:title>
  <dc:creator/>
  <dc:description>High-detail Product Carbon Footprint (PCF) analysis for product mxzmgdvnwl, conducted for jzmklypkep, adhering to GHG Protocol and 2026 updates including LSR and 95% Scope 3 coverage.</dc:description>
  <dc:language>en</dc:language>
  <cp:keywords/>
  <dcterms:created xsi:type="dcterms:W3CDTF">2026-07-15T04:03:42Z</dcterms:created>
  <dcterms:modified xsi:type="dcterms:W3CDTF">2026-07-15T04:03:42Z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