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mrvnnpvzzl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mrvnnpvzzl</w:t>
      </w:r>
    </w:p>
    <w:p>
      <w:pPr>
        <w:pStyle w:val="BodyText"/>
      </w:pPr>
      <w:r>
        <w:rPr>
          <w:bCs/>
          <w:b/>
        </w:rPr>
        <w:t xml:space="preserve">Company:</w:t>
      </w:r>
      <w:r>
        <w:t xml:space="preserve"> </w:t>
      </w:r>
      <w:r>
        <w:t xml:space="preserve">hdjrhhvkow</w:t>
      </w:r>
    </w:p>
    <w:p>
      <w:pPr>
        <w:pStyle w:val="BodyText"/>
      </w:pPr>
      <w:r>
        <w:rPr>
          <w:bCs/>
          <w:b/>
        </w:rPr>
        <w:t xml:space="preserve">Senior Sustainability Consultant:</w:t>
      </w:r>
      <w:r>
        <w:t xml:space="preserve"> </w:t>
      </w:r>
      <w:r>
        <w:t xml:space="preserve">rvfgphzedx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Actual values may vary based on real-time operational data and specific contextual factors not explicitly provided.</w:t>
      </w:r>
    </w:p>
    <w:bookmarkEnd w:id="20"/>
    <w:p>
      <w:pPr>
        <w:pStyle w:val="BodyText"/>
      </w:pPr>
      <w:r>
        <w:t xml:space="preserve">Generated Date: June 3, 2026</w:t>
      </w:r>
    </w:p>
    <w:bookmarkStart w:id="51" w:name="executive-summary"/>
    <w:p>
      <w:pPr>
        <w:pStyle w:val="Heading1"/>
      </w:pPr>
      <w:r>
        <w:t xml:space="preserve">Executive Summary</w:t>
      </w:r>
    </w:p>
    <w:p>
      <w:pPr>
        <w:pStyle w:val="FirstParagraph"/>
      </w:pPr>
      <w:r>
        <w:t xml:space="preserve">This document presents a high-detail Product Carbon Footprint (PCF) analysis for the product "mrvnnpvzzl" manufactured by "hdjrhhvkow". The analysis adheres to the Greenhouse Gas (GHG) Protocol, including the latest 2026 updates for the Land Sector and Removals (LSR) Standard and Scope 3 reporting requirements. Conducted by rvfgphzedx, Senior Sustainability Consultant, this report aims to quantify the total lifecycle greenhouse gas emissions (in CO2e) associated with the product, identify emission hotspots, and provide insights for decarbonization efforts. Due to the placeholder nature of some input parameters, illustrative emission factors and general methodologies are applied where specific numerical data was not available, with a clear explanation of how actual data would be integrated for precise calculations.</w:t>
      </w:r>
    </w:p>
    <w:p>
      <w:r>
        <w:pict>
          <v:rect style="width:0;height:1.5pt" o:hralign="center" o:hrstd="t" o:hr="t"/>
        </w:pict>
      </w:r>
    </w:p>
    <w:bookmarkStart w:id="25" w:name="define-scope"/>
    <w:p>
      <w:pPr>
        <w:pStyle w:val="Heading2"/>
      </w:pPr>
      <w:r>
        <w:t xml:space="preserve">1. Define Scope</w:t>
      </w:r>
    </w:p>
    <w:bookmarkStart w:id="21"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mrvnnpvzzl</w:t>
      </w:r>
      <w:r>
        <w:t xml:space="preserve">. This unit serves as the reference basis for quantifying all inputs and outputs throughout the product\'s lifecycle.</w:t>
      </w:r>
    </w:p>
    <w:bookmarkEnd w:id="21"/>
    <w:bookmarkStart w:id="22" w:name="system-boundary"/>
    <w:p>
      <w:pPr>
        <w:pStyle w:val="Heading3"/>
      </w:pPr>
      <w:r>
        <w:t xml:space="preserve">1.2 System Boundary</w:t>
      </w:r>
    </w:p>
    <w:p>
      <w:pPr>
        <w:pStyle w:val="FirstParagraph"/>
      </w:pPr>
      <w:r>
        <w:t xml:space="preserve">The system boundary for this PCF analysis is set to</w:t>
      </w:r>
      <w:r>
        <w:t xml:space="preserve"> </w:t>
      </w:r>
      <w:r>
        <w:rPr>
          <w:bCs/>
          <w:b/>
        </w:rPr>
        <w:t xml:space="preserve">"factory_gate"</w:t>
      </w:r>
      <w:r>
        <w:t xml:space="preserve">. This means the analysis includes emissions from raw material extraction, processing, component manufacturing, transportation to the final production factory, and the manufacturing processes at the factory gate. It also extends to cover the use phase and end-of-life impacts as required by the full lifecycle approach, but the primary collection boundary for upstream processes is factory gate.</w:t>
      </w:r>
    </w:p>
    <w:bookmarkEnd w:id="22"/>
    <w:bookmarkStart w:id="23"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 specific focus on a</w:t>
      </w:r>
      <w:r>
        <w:t xml:space="preserve"> </w:t>
      </w:r>
      <w:r>
        <w:rPr>
          <w:bCs/>
          <w:b/>
        </w:rPr>
        <w:t xml:space="preserve">Supply Chain Focus: Europe Focused</w:t>
      </w:r>
      <w:r>
        <w:t xml:space="preserve">. This implies that while final assembly occurs in China, a significant portion of upstream materials and components, as well as potential downstream distribution, originates from or targets Europe.</w:t>
      </w:r>
    </w:p>
    <w:bookmarkEnd w:id="23"/>
    <w:bookmarkStart w:id="24" w:name="allocation"/>
    <w:p>
      <w:pPr>
        <w:pStyle w:val="Heading3"/>
      </w:pPr>
      <w:r>
        <w:t xml:space="preserve">1.4 Allocation</w:t>
      </w:r>
    </w:p>
    <w:p>
      <w:pPr>
        <w:pStyle w:val="FirstParagraph"/>
      </w:pPr>
      <w:r>
        <w:t xml:space="preserve">Emissions are allocated to the functional unit based on a mass allocation approach where co-products or waste streams are generated. For energy, direct consumption by the production of the functional unit is allocated. Upstream emissions are allocated based on material quantities and transportation distances directly attributable to mrvnnpvzzl.</w:t>
      </w:r>
    </w:p>
    <w:p>
      <w:r>
        <w:pict>
          <v:rect style="width:0;height:1.5pt" o:hralign="center" o:hrstd="t" o:hr="t"/>
        </w:pict>
      </w:r>
    </w:p>
    <w:bookmarkEnd w:id="24"/>
    <w:bookmarkEnd w:id="25"/>
    <w:bookmarkStart w:id="32"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collection approach. Both primary and secondary data are integrated, with specific parameters provided for customized analysis.</w:t>
      </w:r>
    </w:p>
    <w:bookmarkStart w:id="26" w:name="X1e145f90d644c2802441031e2d3ab4d09e2134c"/>
    <w:p>
      <w:pPr>
        <w:pStyle w:val="Heading3"/>
      </w:pPr>
      <w:r>
        <w:t xml:space="preserve">3.1 Materials Acquisition and Pre-processing (Scope 3, Category 1: Purchased Goods and Services)</w:t>
      </w:r>
    </w:p>
    <w:p>
      <w:pPr>
        <w:pStyle w:val="FirstParagraph"/>
      </w:pPr>
      <w:r>
        <w:t xml:space="preserve">The detailed Bill of Materials (BOM) for "tezjhtvi" is crucial for an accurate material impact calculation. The BOM data provided follows the format: ID, Description, Category, Process, Qty, Unit, Emission Factor, Total Carbon. For this report, we assume the \'Total Carbon\' value for each BOM item represents the pre-calculated CO2e emissions associated with the acquisition and pre-processing of that specific material component, up to the point of being received at the manufacturing facility. This approach ensures high-accuracy material impact calculation instead of default estimates.</w:t>
      </w:r>
    </w:p>
    <w:p>
      <w:pPr>
        <w:pStyle w:val="BodyText"/>
      </w:pPr>
      <w:r>
        <w:rPr>
          <w:bCs/>
          <w:b/>
        </w:rPr>
        <w:t xml:space="preserve">Illustrative BOM Data Structure (referencing \'tezjhtvi\'):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[Example ID 1]</w:t>
            </w:r>
          </w:p>
        </w:tc>
        <w:tc>
          <w:tcPr/>
          <w:p>
            <w:pPr>
              <w:pStyle w:val="Compact"/>
              <w:jc w:val="left"/>
            </w:pPr>
            <w:r>
              <w:t xml:space="preserve">[Example Material A]</w:t>
            </w:r>
          </w:p>
        </w:tc>
        <w:tc>
          <w:tcPr/>
          <w:p>
            <w:pPr>
              <w:pStyle w:val="Compact"/>
              <w:jc w:val="left"/>
            </w:pPr>
            <w:r>
              <w:t xml:space="preserve">[Metals/Plastics/Silicon]</w:t>
            </w:r>
          </w:p>
        </w:tc>
        <w:tc>
          <w:tcPr/>
          <w:p>
            <w:pPr>
              <w:pStyle w:val="Compact"/>
              <w:jc w:val="left"/>
            </w:pPr>
            <w:r>
              <w:t xml:space="preserve">[Extraction/Molding/Refining]</w:t>
            </w:r>
          </w:p>
        </w:tc>
        <w:tc>
          <w:tcPr/>
          <w:p>
            <w:pPr>
              <w:pStyle w:val="Compact"/>
              <w:jc w:val="left"/>
            </w:pPr>
            <w:r>
              <w:t xml:space="preserve">[Qty_A]</w:t>
            </w:r>
          </w:p>
        </w:tc>
        <w:tc>
          <w:tcPr/>
          <w:p>
            <w:pPr>
              <w:pStyle w:val="Compact"/>
              <w:jc w:val="left"/>
            </w:pPr>
            <w:r>
              <w:t xml:space="preserve">[Unit_A]</w:t>
            </w:r>
          </w:p>
        </w:tc>
        <w:tc>
          <w:tcPr/>
          <w:p>
            <w:pPr>
              <w:pStyle w:val="Compact"/>
              <w:jc w:val="left"/>
            </w:pPr>
            <w:r>
              <w:t xml:space="preserve">[EF_A]</w:t>
            </w:r>
          </w:p>
        </w:tc>
        <w:tc>
          <w:tcPr/>
          <w:p>
            <w:pPr>
              <w:pStyle w:val="Compact"/>
              <w:jc w:val="left"/>
            </w:pPr>
            <w:r>
              <w:t xml:space="preserve">[Total_Carbon_A (from tezjhtvi)]</w:t>
            </w:r>
          </w:p>
        </w:tc>
      </w:tr>
      <w:tr>
        <w:tc>
          <w:tcPr/>
          <w:p>
            <w:pPr>
              <w:pStyle w:val="Compact"/>
              <w:jc w:val="left"/>
            </w:pPr>
            <w:r>
              <w:t xml:space="preserve">[Example ID 2]</w:t>
            </w:r>
          </w:p>
        </w:tc>
        <w:tc>
          <w:tcPr/>
          <w:p>
            <w:pPr>
              <w:pStyle w:val="Compact"/>
              <w:jc w:val="left"/>
            </w:pPr>
            <w:r>
              <w:t xml:space="preserve">[Example Material B]</w:t>
            </w:r>
          </w:p>
        </w:tc>
        <w:tc>
          <w:tcPr/>
          <w:p>
            <w:pPr>
              <w:pStyle w:val="Compact"/>
              <w:jc w:val="left"/>
            </w:pPr>
            <w:r>
              <w:t xml:space="preserve">[Metals/Plastics/Silicon]</w:t>
            </w:r>
          </w:p>
        </w:tc>
        <w:tc>
          <w:tcPr/>
          <w:p>
            <w:pPr>
              <w:pStyle w:val="Compact"/>
              <w:jc w:val="left"/>
            </w:pPr>
            <w:r>
              <w:t xml:space="preserve">[Extraction/Molding/Refining]</w:t>
            </w:r>
          </w:p>
        </w:tc>
        <w:tc>
          <w:tcPr/>
          <w:p>
            <w:pPr>
              <w:pStyle w:val="Compact"/>
              <w:jc w:val="left"/>
            </w:pPr>
            <w:r>
              <w:t xml:space="preserve">[Qty_B]</w:t>
            </w:r>
          </w:p>
        </w:tc>
        <w:tc>
          <w:tcPr/>
          <w:p>
            <w:pPr>
              <w:pStyle w:val="Compact"/>
              <w:jc w:val="left"/>
            </w:pPr>
            <w:r>
              <w:t xml:space="preserve">[Unit_B]</w:t>
            </w:r>
          </w:p>
        </w:tc>
        <w:tc>
          <w:tcPr/>
          <w:p>
            <w:pPr>
              <w:pStyle w:val="Compact"/>
              <w:jc w:val="left"/>
            </w:pPr>
            <w:r>
              <w:t xml:space="preserve">[EF_B]</w:t>
            </w:r>
          </w:p>
        </w:tc>
        <w:tc>
          <w:tcPr/>
          <w:p>
            <w:pPr>
              <w:pStyle w:val="Compact"/>
              <w:jc w:val="left"/>
            </w:pPr>
            <w:r>
              <w:t xml:space="preserve">[Total_Carbon_B (from tezjhtvi)]</w:t>
            </w:r>
          </w:p>
        </w:tc>
      </w:tr>
      <w:tr>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gridSpan w:val="7"/>
          </w:tcPr>
          <w:p>
            <w:pPr>
              <w:pStyle w:val="Compact"/>
              <w:jc w:val="left"/>
            </w:pPr>
            <w:r>
              <w:rPr>
                <w:bCs/>
                <w:b/>
              </w:rPr>
              <w:t xml:space="preserve">Total Illustrative Material Emissions (sum of \'Total Carbon\' from \'tezjhtvi\' data)</w:t>
            </w:r>
          </w:p>
        </w:tc>
        <w:tc>
          <w:tcPr/>
          <w:p>
            <w:pPr>
              <w:pStyle w:val="Compact"/>
              <w:jc w:val="left"/>
            </w:pPr>
            <w:r>
              <w:rPr>
                <w:bCs/>
                <w:b/>
              </w:rPr>
              <w:t xml:space="preserve">[Sum of Total Carbon from tezjhtvi] kg CO2e</w:t>
            </w:r>
          </w:p>
        </w:tc>
      </w:tr>
    </w:tbl>
    <w:p>
      <w:pPr>
        <w:pStyle w:val="BodyText"/>
      </w:pPr>
      <w:r>
        <w:rPr>
          <w:iCs/>
          <w:i/>
        </w:rPr>
        <w:t xml:space="preserve">Note: The specific values for each BOM item (ID, Description, Category, Process, Qty, Unit, Emission Factor, Total Carbon) would be directly extracted and summed from the \'tezjhtvi\' data for actual calculation. The table above is an illustrative representation of how the data would be structured and used.</w:t>
      </w:r>
    </w:p>
    <w:bookmarkEnd w:id="26"/>
    <w:bookmarkStart w:id="27" w:name="X278718d11412f269dd76e9b74f68e9a109f6b69"/>
    <w:p>
      <w:pPr>
        <w:pStyle w:val="Heading3"/>
      </w:pPr>
      <w:r>
        <w:t xml:space="preserve">3.2 Manufacturing Phase (Scope 1: Direct Emissions, Scope 2: Purchased Energy, Scope 3: Waste)</w:t>
      </w:r>
    </w:p>
    <w:p>
      <w:pPr>
        <w:pStyle w:val="FirstParagraph"/>
      </w:pPr>
      <w:r>
        <w:t xml:space="preserve">The production phase footprint is calculated using provided energy customization data:</w:t>
      </w:r>
    </w:p>
    <w:p>
      <w:pPr>
        <w:numPr>
          <w:ilvl w:val="0"/>
          <w:numId w:val="1001"/>
        </w:numPr>
        <w:pStyle w:val="Compact"/>
      </w:pPr>
      <w:r>
        <w:rPr>
          <w:bCs/>
          <w:b/>
        </w:rPr>
        <w:t xml:space="preserve">Renewable Energy Usage:</w:t>
      </w:r>
      <w:r>
        <w:t xml:space="preserve"> </w:t>
      </w:r>
      <w:r>
        <w:t xml:space="preserve">hhhkmdiopp (e.g., a percentage, 40%)</w:t>
      </w:r>
    </w:p>
    <w:p>
      <w:pPr>
        <w:numPr>
          <w:ilvl w:val="0"/>
          <w:numId w:val="1001"/>
        </w:numPr>
        <w:pStyle w:val="Compact"/>
      </w:pPr>
      <w:r>
        <w:rPr>
          <w:bCs/>
          <w:b/>
        </w:rPr>
        <w:t xml:space="preserve">Energy Intensity (kWh/unit):</w:t>
      </w:r>
      <w:r>
        <w:t xml:space="preserve"> </w:t>
      </w:r>
      <w:r>
        <w:t xml:space="preserve">feqvkshwow (e.g., 5 kWh/unit)</w:t>
      </w:r>
    </w:p>
    <w:p>
      <w:pPr>
        <w:pStyle w:val="FirstParagraph"/>
      </w:pPr>
      <w:r>
        <w:t xml:space="preserve">Direct emissions (Scope 1) from on-site fuel combustion are assumed to be negligible or covered by the broader energy intensity data unless specified. Purchased electricity (Scope 2) constitutes the main energy impact. The renewable energy usage percentage will be applied to the total energy intensity to determine the grid electricity portion.</w:t>
      </w:r>
    </w:p>
    <w:bookmarkEnd w:id="27"/>
    <w:bookmarkStart w:id="28" w:name="Xa4fea37fdb03b8cecf0668bbedbabfc6ceb1702"/>
    <w:p>
      <w:pPr>
        <w:pStyle w:val="Heading3"/>
      </w:pPr>
      <w:r>
        <w:t xml:space="preserve">3.3 Transportation and Distribution (Scope 3, Category 4: Upstream Transportation &amp; Distribution, Category 9: Downstream Transportation &amp; Distribution)</w:t>
      </w:r>
    </w:p>
    <w:p>
      <w:pPr>
        <w:pStyle w:val="FirstParagraph"/>
      </w:pPr>
      <w:r>
        <w:t xml:space="preserve">Specific logistics data is incorporated into the supply chain analysis:</w:t>
      </w:r>
    </w:p>
    <w:p>
      <w:pPr>
        <w:numPr>
          <w:ilvl w:val="0"/>
          <w:numId w:val="1002"/>
        </w:numPr>
        <w:pStyle w:val="Compact"/>
      </w:pPr>
      <w:r>
        <w:rPr>
          <w:bCs/>
          <w:b/>
        </w:rPr>
        <w:t xml:space="preserve">Transport Mode:</w:t>
      </w:r>
      <w:r>
        <w:t xml:space="preserve"> </w:t>
      </w:r>
      <w:r>
        <w:t xml:space="preserve">Select Mode (e.g., Sea Freight, Road Freight)</w:t>
      </w:r>
    </w:p>
    <w:p>
      <w:pPr>
        <w:numPr>
          <w:ilvl w:val="0"/>
          <w:numId w:val="1002"/>
        </w:numPr>
        <w:pStyle w:val="Compact"/>
      </w:pPr>
      <w:r>
        <w:rPr>
          <w:bCs/>
          <w:b/>
        </w:rPr>
        <w:t xml:space="preserve">Transport Distance:</w:t>
      </w:r>
      <w:r>
        <w:t xml:space="preserve"> </w:t>
      </w:r>
      <w:r>
        <w:t xml:space="preserve">rgdezzmejg (e.g., 10,000 km)</w:t>
      </w:r>
    </w:p>
    <w:p>
      <w:pPr>
        <w:numPr>
          <w:ilvl w:val="0"/>
          <w:numId w:val="1002"/>
        </w:numPr>
        <w:pStyle w:val="Compact"/>
      </w:pPr>
      <w:r>
        <w:rPr>
          <w:bCs/>
          <w:b/>
        </w:rPr>
        <w:t xml:space="preserve">Last-Mile Delivery Channel:</w:t>
      </w:r>
      <w:r>
        <w:t xml:space="preserve"> </w:t>
      </w:r>
      <w:r>
        <w:t xml:space="preserve">Delivery Type (e.g., Road Freight, Courier)</w:t>
      </w:r>
    </w:p>
    <w:p>
      <w:pPr>
        <w:pStyle w:val="FirstParagraph"/>
      </w:pPr>
      <w:r>
        <w:t xml:space="preserve">Emissions for these stages depend on the mode, distance, and weight of the product (or a representative payload). Given the "Supply Chain Focus: Europe Focused", both inbound logistics to China and outbound distribution from China will be considered.</w:t>
      </w:r>
    </w:p>
    <w:bookmarkEnd w:id="28"/>
    <w:bookmarkStart w:id="29" w:name="Xc8d47610e025d3b1fe367d676386ecee874efa3"/>
    <w:p>
      <w:pPr>
        <w:pStyle w:val="Heading3"/>
      </w:pPr>
      <w:r>
        <w:t xml:space="preserve">3.4 Use Phase (Scope 3, Category 11: Use of Sold Products)</w:t>
      </w:r>
    </w:p>
    <w:p>
      <w:pPr>
        <w:pStyle w:val="FirstParagraph"/>
      </w:pPr>
      <w:r>
        <w:t xml:space="preserve">The \'Use Phase\' calculation expands using specific durability and consumption data:</w:t>
      </w:r>
    </w:p>
    <w:p>
      <w:pPr>
        <w:numPr>
          <w:ilvl w:val="0"/>
          <w:numId w:val="1003"/>
        </w:numPr>
        <w:pStyle w:val="Compact"/>
      </w:pPr>
      <w:r>
        <w:rPr>
          <w:bCs/>
          <w:b/>
        </w:rPr>
        <w:t xml:space="preserve">Product Lifespan:</w:t>
      </w:r>
      <w:r>
        <w:t xml:space="preserve"> </w:t>
      </w:r>
      <w:r>
        <w:t xml:space="preserve">qovomrmqzy (e.g., 5 years)</w:t>
      </w:r>
    </w:p>
    <w:p>
      <w:pPr>
        <w:numPr>
          <w:ilvl w:val="0"/>
          <w:numId w:val="1003"/>
        </w:numPr>
        <w:pStyle w:val="Compact"/>
      </w:pPr>
      <w:r>
        <w:rPr>
          <w:bCs/>
          <w:b/>
        </w:rPr>
        <w:t xml:space="preserve">Energy Consumption in Use:</w:t>
      </w:r>
      <w:r>
        <w:t xml:space="preserve"> </w:t>
      </w:r>
      <w:r>
        <w:t xml:space="preserve">kfrujkxjdh (e.g., 10 kWh/year)</w:t>
      </w:r>
    </w:p>
    <w:p>
      <w:pPr>
        <w:pStyle w:val="FirstParagraph"/>
      </w:pPr>
      <w:r>
        <w:t xml:space="preserve">Emissions in the use phase are primarily driven by electricity consumption over the product\'s lifespan.</w:t>
      </w:r>
    </w:p>
    <w:bookmarkEnd w:id="29"/>
    <w:bookmarkStart w:id="30" w:name="X22f9dae0edae5a4ebf0dcf5b8ca74de2c6ea5a4"/>
    <w:p>
      <w:pPr>
        <w:pStyle w:val="Heading3"/>
      </w:pPr>
      <w:r>
        <w:t xml:space="preserve">3.5 End-of-Life (EoL) Scenarios (Scope 3, Category 12: End-of-Life Treatment of Sold Products)</w:t>
      </w:r>
    </w:p>
    <w:p>
      <w:pPr>
        <w:pStyle w:val="FirstParagraph"/>
      </w:pPr>
      <w:r>
        <w:t xml:space="preserve">End-of-Life scenarios are incorporated to reflect circular economy impacts:</w:t>
      </w:r>
    </w:p>
    <w:p>
      <w:pPr>
        <w:numPr>
          <w:ilvl w:val="0"/>
          <w:numId w:val="1004"/>
        </w:numPr>
        <w:pStyle w:val="Compact"/>
      </w:pPr>
      <w:r>
        <w:rPr>
          <w:bCs/>
          <w:b/>
        </w:rPr>
        <w:t xml:space="preserve">Recyclability Percentage:</w:t>
      </w:r>
      <w:r>
        <w:t xml:space="preserve"> </w:t>
      </w:r>
      <w:r>
        <w:t xml:space="preserve">ntudlpizir (e.g., 70%)</w:t>
      </w:r>
    </w:p>
    <w:p>
      <w:pPr>
        <w:numPr>
          <w:ilvl w:val="0"/>
          <w:numId w:val="1004"/>
        </w:numPr>
        <w:pStyle w:val="Compact"/>
      </w:pPr>
      <w:r>
        <w:rPr>
          <w:bCs/>
          <w:b/>
        </w:rPr>
        <w:t xml:space="preserve">Circular/Take-back Programs:</w:t>
      </w:r>
      <w:r>
        <w:t xml:space="preserve"> </w:t>
      </w:r>
      <w:r>
        <w:t xml:space="preserve">rmoqoxkjkx (e.g., active regional take-back program)</w:t>
      </w:r>
    </w:p>
    <w:p>
      <w:pPr>
        <w:pStyle w:val="FirstParagraph"/>
      </w:pPr>
      <w:r>
        <w:t xml:space="preserve">Credits for recycling and impacts from disposal or circularity programs will be modeled based on these parameters.</w:t>
      </w:r>
    </w:p>
    <w:bookmarkEnd w:id="30"/>
    <w:bookmarkStart w:id="31" w:name="illustrative-emission-factors"/>
    <w:p>
      <w:pPr>
        <w:pStyle w:val="Heading3"/>
      </w:pPr>
      <w:r>
        <w:t xml:space="preserve">3.6 Illustrative Emission Factors</w:t>
      </w:r>
    </w:p>
    <w:p>
      <w:pPr>
        <w:pStyle w:val="FirstParagraph"/>
      </w:pPr>
      <w:r>
        <w:t xml:space="preserve">For calculation purposes, industry-standard emission factors are used, typically sourced from databases like Ecoinvent or DEFRA. Below are illustrative emission factors used in this analysis where actual numerical input was not provided: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(Illustrative)</w:t>
            </w:r>
          </w:p>
        </w:tc>
        <w:tc>
          <w:tcPr/>
          <w:p>
            <w:pPr>
              <w:pStyle w:val="Compact"/>
              <w:jc w:val="left"/>
            </w:pPr>
            <w:r>
              <w:t xml:space="preserve">Source (Illustrative)</w:t>
            </w:r>
          </w:p>
        </w:tc>
      </w:tr>
      <w:tr>
        <w:tc>
          <w:tcPr/>
          <w:p>
            <w:pPr>
              <w:pStyle w:val="Compact"/>
              <w:jc w:val="left"/>
            </w:pPr>
            <w:r>
              <w:t xml:space="preserve">Grid Electricity (China, average)</w:t>
            </w:r>
          </w:p>
        </w:tc>
        <w:tc>
          <w:tcPr/>
          <w:p>
            <w:pPr>
              <w:pStyle w:val="Compact"/>
              <w:jc w:val="left"/>
            </w:pPr>
            <w:r>
              <w:t xml:space="preserve">0.56 - 0.61 kg CO2e/kWh</w:t>
            </w:r>
          </w:p>
        </w:tc>
        <w:tc>
          <w:tcPr/>
          <w:p>
            <w:pPr>
              <w:pStyle w:val="Compact"/>
              <w:jc w:val="left"/>
            </w:pPr>
            <w:r>
              <w:t xml:space="preserve">IEA, MEE, Climatiq, Consumer Ecology</w:t>
            </w:r>
          </w:p>
        </w:tc>
      </w:tr>
      <w:tr>
        <w:tc>
          <w:tcPr/>
          <w:p>
            <w:pPr>
              <w:pStyle w:val="Compact"/>
              <w:jc w:val="left"/>
            </w:pPr>
            <w:r>
              <w:t xml:space="preserve">Sea Freight (Container Ship, average)</w:t>
            </w:r>
          </w:p>
        </w:tc>
        <w:tc>
          <w:tcPr/>
          <w:p>
            <w:pPr>
              <w:pStyle w:val="Compact"/>
              <w:jc w:val="left"/>
            </w:pPr>
            <w:r>
              <w:t xml:space="preserve">0.016 kg CO2e/tonne-km</w:t>
            </w:r>
          </w:p>
        </w:tc>
        <w:tc>
          <w:tcPr/>
          <w:p>
            <w:pPr>
              <w:pStyle w:val="Compact"/>
              <w:jc w:val="left"/>
            </w:pPr>
            <w:r>
              <w:t xml:space="preserve">DEFRA, Climatiq</w:t>
            </w:r>
          </w:p>
        </w:tc>
      </w:tr>
      <w:tr>
        <w:tc>
          <w:tcPr/>
          <w:p>
            <w:pPr>
              <w:pStyle w:val="Compact"/>
              <w:jc w:val="left"/>
            </w:pPr>
            <w:r>
              <w:t xml:space="preserve">Road Freight (Heavy Goods Vehicle, Europe average)</w:t>
            </w:r>
          </w:p>
        </w:tc>
        <w:tc>
          <w:tcPr/>
          <w:p>
            <w:pPr>
              <w:pStyle w:val="Compact"/>
              <w:jc w:val="left"/>
            </w:pPr>
            <w:r>
              <w:t xml:space="preserve">0.062 kg CO2e/tonne-km</w:t>
            </w:r>
          </w:p>
        </w:tc>
        <w:tc>
          <w:tcPr/>
          <w:p>
            <w:pPr>
              <w:pStyle w:val="Compact"/>
              <w:jc w:val="left"/>
            </w:pPr>
            <w:r>
              <w:t xml:space="preserve">McKinnon, GLEC</w:t>
            </w:r>
          </w:p>
        </w:tc>
      </w:tr>
      <w:tr>
        <w:tc>
          <w:tcPr/>
          <w:p>
            <w:pPr>
              <w:pStyle w:val="Compact"/>
              <w:jc w:val="left"/>
            </w:pPr>
            <w:r>
              <w:t xml:space="preserve">Renewable Electricity (e.g., wind/solar, marginal)</w:t>
            </w:r>
          </w:p>
        </w:tc>
        <w:tc>
          <w:tcPr/>
          <w:p>
            <w:pPr>
              <w:pStyle w:val="Compact"/>
              <w:jc w:val="left"/>
            </w:pPr>
            <w:r>
              <w:t xml:space="preserve">~0.01 – 0.05 kg CO2e/kWh (lifecycle)</w:t>
            </w:r>
          </w:p>
        </w:tc>
        <w:tc>
          <w:tcPr/>
          <w:p>
            <w:pPr>
              <w:pStyle w:val="Compact"/>
              <w:jc w:val="left"/>
            </w:pPr>
            <w:r>
              <w:t xml:space="preserve">Industry estimates (e.g., Ecoinvent)</w:t>
            </w:r>
          </w:p>
        </w:tc>
      </w:tr>
      <w:tr>
        <w:tc>
          <w:tcPr/>
          <w:p>
            <w:pPr>
              <w:pStyle w:val="Compact"/>
              <w:jc w:val="left"/>
            </w:pPr>
            <w:r>
              <w:t xml:space="preserve">Landfill Disposal (mixed waste, per kg)</w:t>
            </w:r>
          </w:p>
        </w:tc>
        <w:tc>
          <w:tcPr/>
          <w:p>
            <w:pPr>
              <w:pStyle w:val="Compact"/>
              <w:jc w:val="left"/>
            </w:pPr>
            <w:r>
              <w:t xml:space="preserve">~0.15 - 0.25 kg CO2e/kg</w:t>
            </w:r>
          </w:p>
        </w:tc>
        <w:tc>
          <w:tcPr/>
          <w:p>
            <w:pPr>
              <w:pStyle w:val="Compact"/>
              <w:jc w:val="left"/>
            </w:pPr>
            <w:r>
              <w:t xml:space="preserve">Industry estimates (e.g., Ecoinvent)</w:t>
            </w:r>
          </w:p>
        </w:tc>
      </w:tr>
      <w:tr>
        <w:tc>
          <w:tcPr/>
          <w:p>
            <w:pPr>
              <w:pStyle w:val="Compact"/>
              <w:jc w:val="left"/>
            </w:pPr>
            <w:r>
              <w:t xml:space="preserve">Recycling (material specific, credit)</w:t>
            </w:r>
          </w:p>
        </w:tc>
        <w:tc>
          <w:tcPr/>
          <w:p>
            <w:pPr>
              <w:pStyle w:val="Compact"/>
              <w:jc w:val="left"/>
            </w:pPr>
            <w:r>
              <w:t xml:space="preserve">Varies significantly by material; typically -X kg CO2e/kg</w:t>
            </w:r>
          </w:p>
        </w:tc>
        <w:tc>
          <w:tcPr/>
          <w:p>
            <w:pPr>
              <w:pStyle w:val="Compact"/>
              <w:jc w:val="left"/>
            </w:pPr>
            <w:r>
              <w:t xml:space="preserve">Industry estimates (e.g., Ecoinvent)</w:t>
            </w:r>
          </w:p>
        </w:tc>
      </w:tr>
    </w:tbl>
    <w:p>
      <w:r>
        <w:pict>
          <v:rect style="width:0;height:1.5pt" o:hralign="center" o:hrstd="t" o:hr="t"/>
        </w:pict>
      </w:r>
    </w:p>
    <w:bookmarkEnd w:id="31"/>
    <w:bookmarkEnd w:id="32"/>
    <w:bookmarkStart w:id="42" w:name="calculate-emissions"/>
    <w:p>
      <w:pPr>
        <w:pStyle w:val="Heading2"/>
      </w:pPr>
      <w:r>
        <w:t xml:space="preserve">4. Calculate Emissions</w:t>
      </w:r>
    </w:p>
    <w:p>
      <w:pPr>
        <w:pStyle w:val="FirstParagraph"/>
      </w:pPr>
      <w:r>
        <w:t xml:space="preserve">The calculation of emissions follows the formula: Activity Data × Emission Factor = CO2e. Emissions are categorized according to the GHG Protocol (Scope 1, 2, 3).</w:t>
      </w:r>
    </w:p>
    <w:bookmarkStart w:id="33" w:name="scope-1-direct-emissions"/>
    <w:p>
      <w:pPr>
        <w:pStyle w:val="Heading3"/>
      </w:pPr>
      <w:r>
        <w:t xml:space="preserve">4.1 Scope 1: Direct Emissions</w:t>
      </w:r>
    </w:p>
    <w:p>
      <w:pPr>
        <w:pStyle w:val="FirstParagraph"/>
      </w:pPr>
      <w:r>
        <w:t xml:space="preserve">For the product mrvnnpvzzl, direct emissions (e.g., from company-owned vehicles, on-site fuel combustion not tied to electricity generation) are assumed to be minimal at the factory gate level for a manufactured product, unless specified in further detail within the \'Process\' section of \'tezjhtvi\' for any direct industrial processes. Without specific Scope 1 activity data, these are deemed negligible for this PCF analysis focused on the product itself.</w:t>
      </w:r>
    </w:p>
    <w:bookmarkEnd w:id="33"/>
    <w:bookmarkStart w:id="34" w:name="scope-2-purchased-electricity-emissions"/>
    <w:p>
      <w:pPr>
        <w:pStyle w:val="Heading3"/>
      </w:pPr>
      <w:r>
        <w:t xml:space="preserve">4.2 Scope 2: Purchased Electricity Emissions</w:t>
      </w:r>
    </w:p>
    <w:p>
      <w:pPr>
        <w:pStyle w:val="FirstParagraph"/>
      </w:pPr>
      <w:r>
        <w:t xml:space="preserve">This covers electricity purchased for the manufacturing process at the factory in China.</w:t>
      </w:r>
    </w:p>
    <w:p>
      <w:pPr>
        <w:numPr>
          <w:ilvl w:val="0"/>
          <w:numId w:val="1005"/>
        </w:numPr>
        <w:pStyle w:val="Compact"/>
      </w:pPr>
      <w:r>
        <w:rPr>
          <w:bCs/>
          <w:b/>
        </w:rPr>
        <w:t xml:space="preserve">Total Energy Intensity:</w:t>
      </w:r>
      <w:r>
        <w:t xml:space="preserve"> </w:t>
      </w:r>
      <w:r>
        <w:t xml:space="preserve">feqvkshwow kWh/unit</w:t>
      </w:r>
    </w:p>
    <w:p>
      <w:pPr>
        <w:numPr>
          <w:ilvl w:val="0"/>
          <w:numId w:val="1005"/>
        </w:numPr>
        <w:pStyle w:val="Compact"/>
      </w:pPr>
      <w:r>
        <w:rPr>
          <w:bCs/>
          <w:b/>
        </w:rPr>
        <w:t xml:space="preserve">Renewable Energy Usage:</w:t>
      </w:r>
      <w:r>
        <w:t xml:space="preserve"> </w:t>
      </w:r>
      <w:r>
        <w:t xml:space="preserve">hhhkmdiopp</w:t>
      </w:r>
    </w:p>
    <w:p>
      <w:pPr>
        <w:numPr>
          <w:ilvl w:val="0"/>
          <w:numId w:val="1005"/>
        </w:numPr>
        <w:pStyle w:val="Compact"/>
      </w:pPr>
      <w:r>
        <w:rPr>
          <w:bCs/>
          <w:b/>
        </w:rPr>
        <w:t xml:space="preserve">Grid Electricity Usage:</w:t>
      </w:r>
      <w:r>
        <w:t xml:space="preserve"> </w:t>
      </w:r>
      <w:r>
        <w:t xml:space="preserve">(1 - hhhkmdiopp) * feqvkshwow kWh/unit</w:t>
      </w:r>
    </w:p>
    <w:p>
      <w:pPr>
        <w:numPr>
          <w:ilvl w:val="0"/>
          <w:numId w:val="1005"/>
        </w:numPr>
        <w:pStyle w:val="Compact"/>
      </w:pPr>
      <w:r>
        <w:rPr>
          <w:bCs/>
          <w:b/>
        </w:rPr>
        <w:t xml:space="preserve">Illustrative Grid Emission Factor (China):</w:t>
      </w:r>
      <w:r>
        <w:t xml:space="preserve"> </w:t>
      </w:r>
      <w:r>
        <w:t xml:space="preserve">0.56 kg CO2e/kWh</w:t>
      </w:r>
    </w:p>
    <w:p>
      <w:pPr>
        <w:numPr>
          <w:ilvl w:val="0"/>
          <w:numId w:val="1005"/>
        </w:numPr>
        <w:pStyle w:val="Compact"/>
      </w:pPr>
      <w:r>
        <w:rPr>
          <w:bCs/>
          <w:b/>
        </w:rPr>
        <w:t xml:space="preserve">Illustrative Renewable Emission Factor (lifecycle):</w:t>
      </w:r>
      <w:r>
        <w:t xml:space="preserve"> </w:t>
      </w:r>
      <w:r>
        <w:t xml:space="preserve">0.03 kg CO2e/kWh</w:t>
      </w:r>
    </w:p>
    <w:p>
      <w:pPr>
        <w:pStyle w:val="FirstParagraph"/>
      </w:pPr>
      <w:r>
        <w:rPr>
          <w:bCs/>
          <w:b/>
        </w:rPr>
        <w:t xml:space="preserve">Illustrative Calculation:</w:t>
      </w:r>
      <w:r>
        <w:br/>
      </w:r>
      <w:r>
        <w:t xml:space="preserve">( (1 - hhhkmdiopp) * feqvkshwow kWh/unit * 0.56 kg CO2e/kWh ) + ( hhhkmdiopp * feqvkshwow kWh/unit * 0.03 kg CO2e/kWh ) = Illustrative Scope 2 Emissions per unit mrvnnpvzzl.</w:t>
      </w:r>
    </w:p>
    <w:bookmarkEnd w:id="34"/>
    <w:bookmarkStart w:id="40" w:name="scope-3-value-chain-emissions"/>
    <w:p>
      <w:pPr>
        <w:pStyle w:val="Heading3"/>
      </w:pPr>
      <w:r>
        <w:t xml:space="preserve">4.3 Scope 3: Value Chain Emissions</w:t>
      </w:r>
    </w:p>
    <w:p>
      <w:pPr>
        <w:pStyle w:val="FirstParagraph"/>
      </w:pPr>
      <w:r>
        <w:t xml:space="preserve">Scope 3 emissions are typically the most significant for a product and cover the entire value chain.</w:t>
      </w:r>
    </w:p>
    <w:bookmarkStart w:id="35" w:name="Xbd15cf869d312931fd1cfa0021503c1b1bc6cf7"/>
    <w:p>
      <w:pPr>
        <w:pStyle w:val="Heading4"/>
      </w:pPr>
      <w:r>
        <w:t xml:space="preserve">4.3.1 Category 1: Purchased Goods and Services (Materials Impact)</w:t>
      </w:r>
    </w:p>
    <w:p>
      <w:pPr>
        <w:pStyle w:val="FirstParagraph"/>
      </w:pPr>
      <w:r>
        <w:t xml:space="preserve">As per the detailed BOM "tezjhtvi", the \'Total Carbon\' for each material item is summed to provide the overall material impact.</w:t>
      </w:r>
    </w:p>
    <w:p>
      <w:pPr>
        <w:pStyle w:val="BodyText"/>
      </w:pPr>
      <w:r>
        <w:rPr>
          <w:bCs/>
          <w:b/>
        </w:rPr>
        <w:t xml:space="preserve">Illustrative Calculation:</w:t>
      </w:r>
      <w:r>
        <w:br/>
      </w:r>
      <w:r>
        <w:t xml:space="preserve">Sum of \'Total Carbon\' values from \'tezjhtvi\' = Illustrative Material Emissions per unit mrvnnpvzzl.</w:t>
      </w:r>
    </w:p>
    <w:bookmarkEnd w:id="35"/>
    <w:bookmarkStart w:id="36" w:name="X6669a43143349c25ec93e775eebde43de53a73c"/>
    <w:p>
      <w:pPr>
        <w:pStyle w:val="Heading4"/>
      </w:pPr>
      <w:r>
        <w:t xml:space="preserve">4.3.2 Category 4: Upstream Transportation and Distribution</w:t>
      </w:r>
    </w:p>
    <w:p>
      <w:pPr>
        <w:pStyle w:val="FirstParagraph"/>
      </w:pPr>
      <w:r>
        <w:t xml:space="preserve">This includes transportation of raw materials and components to the final production facility in China, with a Europe-focused supply chain.</w:t>
      </w:r>
    </w:p>
    <w:p>
      <w:pPr>
        <w:numPr>
          <w:ilvl w:val="0"/>
          <w:numId w:val="1006"/>
        </w:numPr>
        <w:pStyle w:val="Compact"/>
      </w:pPr>
      <w:r>
        <w:rPr>
          <w:bCs/>
          <w:b/>
        </w:rPr>
        <w:t xml:space="preserve">Illustrative Transport Distance (e.g., sea freight to China):</w:t>
      </w:r>
      <w:r>
        <w:t xml:space="preserve"> </w:t>
      </w:r>
      <w:r>
        <w:t xml:space="preserve">rgdezzmejg (e.g., 10,000 km)</w:t>
      </w:r>
    </w:p>
    <w:p>
      <w:pPr>
        <w:numPr>
          <w:ilvl w:val="0"/>
          <w:numId w:val="1006"/>
        </w:numPr>
        <w:pStyle w:val="Compact"/>
      </w:pPr>
      <w:r>
        <w:rPr>
          <w:bCs/>
          <w:b/>
        </w:rPr>
        <w:t xml:space="preserve">Illustrative Average Product Weight:</w:t>
      </w:r>
      <w:r>
        <w:t xml:space="preserve"> </w:t>
      </w:r>
      <w:r>
        <w:t xml:space="preserve">[Assumed X kg/unit for calculation purposes]</w:t>
      </w:r>
    </w:p>
    <w:p>
      <w:pPr>
        <w:numPr>
          <w:ilvl w:val="0"/>
          <w:numId w:val="1006"/>
        </w:numPr>
        <w:pStyle w:val="Compact"/>
      </w:pPr>
      <w:r>
        <w:rPr>
          <w:bCs/>
          <w:b/>
        </w:rPr>
        <w:t xml:space="preserve">Illustrative Sea Freight Emission Factor:</w:t>
      </w:r>
      <w:r>
        <w:t xml:space="preserve"> </w:t>
      </w:r>
      <w:r>
        <w:t xml:space="preserve">0.016 kg CO2e/tonne-km</w:t>
      </w:r>
    </w:p>
    <w:p>
      <w:pPr>
        <w:pStyle w:val="FirstParagraph"/>
      </w:pPr>
      <w:r>
        <w:rPr>
          <w:bCs/>
          <w:b/>
        </w:rPr>
        <w:t xml:space="preserve">Illustrative Calculation:</w:t>
      </w:r>
      <w:r>
        <w:br/>
      </w:r>
      <w:r>
        <w:t xml:space="preserve">rgdezzmejg km * [Assumed X tonnes/unit] * 0.016 kg CO2e/tonne-km = Illustrative Upstream Transport Emissions per unit mrvnnpvzzl.</w:t>
      </w:r>
    </w:p>
    <w:bookmarkEnd w:id="36"/>
    <w:bookmarkStart w:id="37" w:name="Xe6a609cc71639c4bb5b5bcd247c776c9d89fa33"/>
    <w:p>
      <w:pPr>
        <w:pStyle w:val="Heading4"/>
      </w:pPr>
      <w:r>
        <w:t xml:space="preserve">4.3.3 Category 9: Downstream Transportation and Distribution (Last-Mile Delivery)</w:t>
      </w:r>
    </w:p>
    <w:p>
      <w:pPr>
        <w:pStyle w:val="FirstParagraph"/>
      </w:pPr>
      <w:r>
        <w:t xml:space="preserve">This covers the distribution from the factory gate to the end-consumer or retail points, including \'Last-Mile Delivery Channel: Delivery Type\'.</w:t>
      </w:r>
    </w:p>
    <w:p>
      <w:pPr>
        <w:numPr>
          <w:ilvl w:val="0"/>
          <w:numId w:val="1007"/>
        </w:numPr>
        <w:pStyle w:val="Compact"/>
      </w:pPr>
      <w:r>
        <w:rPr>
          <w:bCs/>
          <w:b/>
        </w:rPr>
        <w:t xml:space="preserve">Illustrative Last-Mile Distance:</w:t>
      </w:r>
      <w:r>
        <w:t xml:space="preserve"> </w:t>
      </w:r>
      <w:r>
        <w:t xml:space="preserve">[Assumed Y km, e.g., 500 km for regional distribution]</w:t>
      </w:r>
    </w:p>
    <w:p>
      <w:pPr>
        <w:numPr>
          <w:ilvl w:val="0"/>
          <w:numId w:val="1007"/>
        </w:numPr>
        <w:pStyle w:val="Compact"/>
      </w:pPr>
      <w:r>
        <w:rPr>
          <w:bCs/>
          <w:b/>
        </w:rPr>
        <w:t xml:space="preserve">Illustrative Average Product Weight:</w:t>
      </w:r>
      <w:r>
        <w:t xml:space="preserve"> </w:t>
      </w:r>
      <w:r>
        <w:t xml:space="preserve">[Assumed X kg/unit]</w:t>
      </w:r>
    </w:p>
    <w:p>
      <w:pPr>
        <w:numPr>
          <w:ilvl w:val="0"/>
          <w:numId w:val="1007"/>
        </w:numPr>
        <w:pStyle w:val="Compact"/>
      </w:pPr>
      <w:r>
        <w:rPr>
          <w:bCs/>
          <w:b/>
        </w:rPr>
        <w:t xml:space="preserve">Illustrative Road Freight Emission Factor:</w:t>
      </w:r>
      <w:r>
        <w:t xml:space="preserve"> </w:t>
      </w:r>
      <w:r>
        <w:t xml:space="preserve">0.062 kg CO2e/tonne-km (for \'Delivery Type\' assumed as road freight)</w:t>
      </w:r>
    </w:p>
    <w:p>
      <w:pPr>
        <w:pStyle w:val="FirstParagraph"/>
      </w:pPr>
      <w:r>
        <w:rPr>
          <w:bCs/>
          <w:b/>
        </w:rPr>
        <w:t xml:space="preserve">Illustrative Calculation:</w:t>
      </w:r>
      <w:r>
        <w:br/>
      </w:r>
      <w:r>
        <w:t xml:space="preserve">[Assumed Y km] * [Assumed X tonnes/unit] * 0.062 kg CO2e/tonne-km = Illustrative Downstream Transport Emissions per unit mrvnnpvzzl.</w:t>
      </w:r>
    </w:p>
    <w:bookmarkEnd w:id="37"/>
    <w:bookmarkStart w:id="38" w:name="category-11-use-of-sold-products"/>
    <w:p>
      <w:pPr>
        <w:pStyle w:val="Heading4"/>
      </w:pPr>
      <w:r>
        <w:t xml:space="preserve">4.3.4 Category 11: Use of Sold Products</w:t>
      </w:r>
    </w:p>
    <w:p>
      <w:pPr>
        <w:pStyle w:val="FirstParagraph"/>
      </w:pPr>
      <w:r>
        <w:t xml:space="preserve">Emissions from the energy consumption of mrvnnpvzzl during its use phase.</w:t>
      </w:r>
    </w:p>
    <w:p>
      <w:pPr>
        <w:numPr>
          <w:ilvl w:val="0"/>
          <w:numId w:val="1008"/>
        </w:numPr>
        <w:pStyle w:val="Compact"/>
      </w:pPr>
      <w:r>
        <w:rPr>
          <w:bCs/>
          <w:b/>
        </w:rPr>
        <w:t xml:space="preserve">Product Lifespan:</w:t>
      </w:r>
      <w:r>
        <w:t xml:space="preserve"> </w:t>
      </w:r>
      <w:r>
        <w:t xml:space="preserve">qovomrmqzy (e.g., 5 years)</w:t>
      </w:r>
    </w:p>
    <w:p>
      <w:pPr>
        <w:numPr>
          <w:ilvl w:val="0"/>
          <w:numId w:val="1008"/>
        </w:numPr>
        <w:pStyle w:val="Compact"/>
      </w:pPr>
      <w:r>
        <w:rPr>
          <w:bCs/>
          <w:b/>
        </w:rPr>
        <w:t xml:space="preserve">Energy Consumption in Use:</w:t>
      </w:r>
      <w:r>
        <w:t xml:space="preserve"> </w:t>
      </w:r>
      <w:r>
        <w:t xml:space="preserve">kfrujkxjdh (e.g., 10 kWh/year)</w:t>
      </w:r>
    </w:p>
    <w:p>
      <w:pPr>
        <w:numPr>
          <w:ilvl w:val="0"/>
          <w:numId w:val="1008"/>
        </w:numPr>
        <w:pStyle w:val="Compact"/>
      </w:pPr>
      <w:r>
        <w:rPr>
          <w:bCs/>
          <w:b/>
        </w:rPr>
        <w:t xml:space="preserve">Illustrative Grid Emission Factor (User Location, assumed Europe average for example):</w:t>
      </w:r>
      <w:r>
        <w:t xml:space="preserve"> </w:t>
      </w:r>
      <w:r>
        <w:t xml:space="preserve">0.25 kg CO2e/kWh (illustrative for European grid)</w:t>
      </w:r>
    </w:p>
    <w:p>
      <w:pPr>
        <w:pStyle w:val="FirstParagraph"/>
      </w:pPr>
      <w:r>
        <w:rPr>
          <w:bCs/>
          <w:b/>
        </w:rPr>
        <w:t xml:space="preserve">Illustrative Calculation:</w:t>
      </w:r>
      <w:r>
        <w:br/>
      </w:r>
      <w:r>
        <w:t xml:space="preserve">qovomrmqzy years * kfrujkxjdh kWh/year * 0.25 kg CO2e/kWh = Illustrative Use Phase Emissions per unit mrvnnpvzzl.</w:t>
      </w:r>
    </w:p>
    <w:bookmarkEnd w:id="38"/>
    <w:bookmarkStart w:id="39" w:name="X9f66eef2700632e081dfe139021cb724ffcd2c5"/>
    <w:p>
      <w:pPr>
        <w:pStyle w:val="Heading4"/>
      </w:pPr>
      <w:r>
        <w:t xml:space="preserve">4.3.5 Category 12: End-of-Life Treatment of Sold Products</w:t>
      </w:r>
    </w:p>
    <w:p>
      <w:pPr>
        <w:pStyle w:val="FirstParagraph"/>
      </w:pPr>
      <w:r>
        <w:t xml:space="preserve">This accounts for the disposal and recycling impacts at the end of the product\'s lifespan.</w:t>
      </w:r>
    </w:p>
    <w:p>
      <w:pPr>
        <w:numPr>
          <w:ilvl w:val="0"/>
          <w:numId w:val="1009"/>
        </w:numPr>
        <w:pStyle w:val="Compact"/>
      </w:pPr>
      <w:r>
        <w:rPr>
          <w:bCs/>
          <w:b/>
        </w:rPr>
        <w:t xml:space="preserve">Recyclability Percentage:</w:t>
      </w:r>
      <w:r>
        <w:t xml:space="preserve"> </w:t>
      </w:r>
      <w:r>
        <w:t xml:space="preserve">ntudlpizir (e.g., 70%)</w:t>
      </w:r>
    </w:p>
    <w:p>
      <w:pPr>
        <w:numPr>
          <w:ilvl w:val="0"/>
          <w:numId w:val="1009"/>
        </w:numPr>
        <w:pStyle w:val="Compact"/>
      </w:pPr>
      <w:r>
        <w:rPr>
          <w:bCs/>
          <w:b/>
        </w:rPr>
        <w:t xml:space="preserve">Circular/Take-back Programs:</w:t>
      </w:r>
      <w:r>
        <w:t xml:space="preserve"> </w:t>
      </w:r>
      <w:r>
        <w:t xml:space="preserve">rmoqoxkjkx (e.g., active regional program)</w:t>
      </w:r>
    </w:p>
    <w:p>
      <w:pPr>
        <w:numPr>
          <w:ilvl w:val="0"/>
          <w:numId w:val="1009"/>
        </w:numPr>
        <w:pStyle w:val="Compact"/>
      </w:pPr>
      <w:r>
        <w:rPr>
          <w:bCs/>
          <w:b/>
        </w:rPr>
        <w:t xml:space="preserve">Illustrative Product Mass (for EoL):</w:t>
      </w:r>
      <w:r>
        <w:t xml:space="preserve"> </w:t>
      </w:r>
      <w:r>
        <w:t xml:space="preserve">[Assumed Z kg/unit]</w:t>
      </w:r>
    </w:p>
    <w:p>
      <w:pPr>
        <w:numPr>
          <w:ilvl w:val="0"/>
          <w:numId w:val="1009"/>
        </w:numPr>
        <w:pStyle w:val="Compact"/>
      </w:pPr>
      <w:r>
        <w:rPr>
          <w:bCs/>
          <w:b/>
        </w:rPr>
        <w:t xml:space="preserve">Illustrative Landfill Emission Factor:</w:t>
      </w:r>
      <w:r>
        <w:t xml:space="preserve"> </w:t>
      </w:r>
      <w:r>
        <w:t xml:space="preserve">0.20 kg CO2e/kg</w:t>
      </w:r>
    </w:p>
    <w:p>
      <w:pPr>
        <w:numPr>
          <w:ilvl w:val="0"/>
          <w:numId w:val="1009"/>
        </w:numPr>
        <w:pStyle w:val="Compact"/>
      </w:pPr>
      <w:r>
        <w:rPr>
          <w:bCs/>
          <w:b/>
        </w:rPr>
        <w:t xml:space="preserve">Illustrative Recycling Credit:</w:t>
      </w:r>
      <w:r>
        <w:t xml:space="preserve"> </w:t>
      </w:r>
      <w:r>
        <w:t xml:space="preserve">-0.50 kg CO2e/kg (for recycled material, highly variable)</w:t>
      </w:r>
    </w:p>
    <w:p>
      <w:pPr>
        <w:pStyle w:val="FirstParagraph"/>
      </w:pPr>
      <w:r>
        <w:rPr>
          <w:bCs/>
          <w:b/>
        </w:rPr>
        <w:t xml:space="preserve">Illustrative Calculation:</w:t>
      </w:r>
      <w:r>
        <w:br/>
      </w:r>
      <w:r>
        <w:t xml:space="preserve">( (1 - ntudlpizir) * [Assumed Z kg/unit] * 0.20 kg CO2e/kg (Landfill) ) + ( ntudlpizir * [Assumed Z kg/unit] * -0.50 kg CO2e/kg (Recycling Credit) ) = Illustrative End-of-Life Emissions per unit mrvnnpvzzl.</w:t>
      </w:r>
      <w:r>
        <w:br/>
      </w:r>
      <w:r>
        <w:rPr>
          <w:iCs/>
          <w:i/>
        </w:rPr>
        <w:t xml:space="preserve">The presence of \'Circular/Take-back Programs: rmoqoxkjkx\' would typically enhance the recycling rate or ensure proper material recovery, potentially improving the net EoL impact.</w:t>
      </w:r>
    </w:p>
    <w:bookmarkEnd w:id="39"/>
    <w:bookmarkEnd w:id="40"/>
    <w:bookmarkStart w:id="41" w:name="X962fe7de16f712b54048cfee8bca50bf1dd01b9"/>
    <w:p>
      <w:pPr>
        <w:pStyle w:val="Heading3"/>
      </w:pPr>
      <w:r>
        <w:t xml:space="preserve">Illustrative Summary of Carbon Footprint by Scope and Lifecycle Stage</w:t>
      </w:r>
    </w:p>
    <w:p>
      <w:pPr>
        <w:pStyle w:val="FirstParagraph"/>
      </w:pPr>
      <w:r>
        <w:t xml:space="preserve">Based on the illustrative calculations and placeholders, a summary of the PCF for one unit of mrvnnpvzzl would look like this: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Illustrative Emissions (kg CO2e/unit)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 (assumed negligible)</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[Illustrative Scope 2 Value]</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[Illustrative Material Emissions Sum from tezjhtvi]</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[Illustrative Upstream Transport Value]</w:t>
            </w:r>
          </w:p>
        </w:tc>
      </w:tr>
      <w:tr>
        <w:tc>
          <w:tcPr>
            <w:gridSpan w:val="1"/>
            <w:vMerge w:val="continue"/>
          </w:tcPr>
          <w:p>
            <w:pPr/>
          </w:p>
        </w:tc>
        <w:tc>
          <w:tcPr/>
          <w:p>
            <w:pPr>
              <w:pStyle w:val="Compact"/>
              <w:jc w:val="left"/>
            </w:pPr>
            <w:r>
              <w:t xml:space="preserve">Category 9: Downstream Transportation</w:t>
            </w:r>
          </w:p>
        </w:tc>
        <w:tc>
          <w:tcPr/>
          <w:p>
            <w:pPr>
              <w:pStyle w:val="Compact"/>
              <w:jc w:val="left"/>
            </w:pPr>
            <w:r>
              <w:t xml:space="preserve">[Illustrative Downstream Transport Value]</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[Illustrative Use Phase Value]</w:t>
            </w:r>
          </w:p>
        </w:tc>
      </w:tr>
      <w:tr>
        <w:tc>
          <w:tcPr/>
          <w:p>
            <w:pPr>
              <w:pStyle w:val="Compact"/>
              <w:jc w:val="left"/>
            </w:pPr>
            <w:r>
              <w:t xml:space="preserve">Scope 3</w:t>
            </w:r>
          </w:p>
        </w:tc>
        <w:tc>
          <w:tcPr/>
          <w:p>
            <w:pPr>
              <w:pStyle w:val="Compact"/>
              <w:jc w:val="left"/>
            </w:pPr>
            <w:r>
              <w:t xml:space="preserve">Category 12: End-of-Life Treatment</w:t>
            </w:r>
          </w:p>
        </w:tc>
        <w:tc>
          <w:tcPr/>
          <w:p>
            <w:pPr>
              <w:pStyle w:val="Compact"/>
              <w:jc w:val="left"/>
            </w:pPr>
            <w:r>
              <w:t xml:space="preserve">[Illustrative End-of-Life Value]</w:t>
            </w:r>
          </w:p>
        </w:tc>
      </w:tr>
      <w:tr>
        <w:tc>
          <w:tcPr>
            <w:gridSpan w:val="2"/>
          </w:tcPr>
          <w:p>
            <w:pPr>
              <w:pStyle w:val="Compact"/>
              <w:jc w:val="left"/>
            </w:pPr>
            <w:r>
              <w:t xml:space="preserve">Total Illustrative Product Carbon Footprint (PCF)</w:t>
            </w:r>
          </w:p>
        </w:tc>
        <w:tc>
          <w:tcPr/>
          <w:p>
            <w:pPr>
              <w:pStyle w:val="Compact"/>
              <w:jc w:val="left"/>
            </w:pPr>
            <w:r>
              <w:t xml:space="preserve">[Sum of all Illustrative Values] kg CO2e/unit</w:t>
            </w:r>
          </w:p>
        </w:tc>
      </w:tr>
    </w:tbl>
    <w:p>
      <w:pPr>
        <w:pStyle w:val="BodyText"/>
      </w:pPr>
      <w:r>
        <w:rPr>
          <w:iCs/>
          <w:i/>
        </w:rPr>
        <w:t xml:space="preserve">Note: Actual numerical inputs for \'tezjhtvi\', \'rgdezzmejg\', \'feqvkshwow\', \'hhhkmdiopp\', \'qovomrmqzy\', \'kfrujkxjdh\', \'ntudlpizir\', \'rmoqoxkjkx\', \'Select Mode\', and \'Delivery Type\' are required to derive precise calculation results. The values above are placeholders for the methodology explanation.</w:t>
      </w:r>
    </w:p>
    <w:p>
      <w:r>
        <w:pict>
          <v:rect style="width:0;height:1.5pt" o:hralign="center" o:hrstd="t" o:hr="t"/>
        </w:pict>
      </w:r>
    </w:p>
    <w:bookmarkEnd w:id="41"/>
    <w:bookmarkEnd w:id="42"/>
    <w:bookmarkStart w:id="50"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illustrative breakdown, it is anticipated that the primary hotspots for the mrvnnpvzzl product\'s carbon footprint would likely be:</w:t>
      </w:r>
    </w:p>
    <w:p>
      <w:pPr>
        <w:numPr>
          <w:ilvl w:val="0"/>
          <w:numId w:val="1010"/>
        </w:numPr>
        <w:pStyle w:val="Compact"/>
      </w:pPr>
      <w:r>
        <w:rPr>
          <w:bCs/>
          <w:b/>
        </w:rPr>
        <w:t xml:space="preserve">Materials Acquisition and Pre-processing (Scope 3, Category 1):</w:t>
      </w:r>
      <w:r>
        <w:t xml:space="preserve"> </w:t>
      </w:r>
      <w:r>
        <w:t xml:space="preserve">This is often the largest contributor, especially for complex products with energy-intensive components or materials. The detailed BOM (\'tezjhtvi\') would highlight specific high-impact materials.</w:t>
      </w:r>
    </w:p>
    <w:p>
      <w:pPr>
        <w:numPr>
          <w:ilvl w:val="0"/>
          <w:numId w:val="1010"/>
        </w:numPr>
        <w:pStyle w:val="Compact"/>
      </w:pPr>
      <w:r>
        <w:rPr>
          <w:bCs/>
          <w:b/>
        </w:rPr>
        <w:t xml:space="preserve">Use Phase (Scope 3, Category 11):</w:t>
      </w:r>
      <w:r>
        <w:t xml:space="preserve"> </w:t>
      </w:r>
      <w:r>
        <w:t xml:space="preserve">If the product has significant energy consumption over its lifespan (\'kfrujkxjdh\', \'qovomrmqzy\'), this can become a dominant factor, particularly in regions with high-carbon electricity grids.</w:t>
      </w:r>
    </w:p>
    <w:p>
      <w:pPr>
        <w:numPr>
          <w:ilvl w:val="0"/>
          <w:numId w:val="1010"/>
        </w:numPr>
        <w:pStyle w:val="Compact"/>
      </w:pPr>
      <w:r>
        <w:rPr>
          <w:bCs/>
          <w:b/>
        </w:rPr>
        <w:t xml:space="preserve">Manufacturing (Scope 2):</w:t>
      </w:r>
      <w:r>
        <w:t xml:space="preserve"> </w:t>
      </w:r>
      <w:r>
        <w:t xml:space="preserve">The energy intensity (\'feqvkshwow\') and the grid emission factor in China are significant, though mitigated by renewable energy usage (\'hhhkmdiopp\').</w:t>
      </w:r>
    </w:p>
    <w:p>
      <w:pPr>
        <w:numPr>
          <w:ilvl w:val="0"/>
          <w:numId w:val="1010"/>
        </w:numPr>
        <w:pStyle w:val="Compact"/>
      </w:pPr>
      <w:r>
        <w:rPr>
          <w:bCs/>
          <w:b/>
        </w:rPr>
        <w:t xml:space="preserve">Transportation (Scope 3, Categories 4 &amp; 9):</w:t>
      </w:r>
      <w:r>
        <w:t xml:space="preserve"> </w:t>
      </w:r>
      <w:r>
        <w:t xml:space="preserve">Given the "Europe Focused" supply chain and potentially long distances (\'rgdezzmejg\'), transportation can be a notable hotspot, especially if air freight is part of "Select Mode" or "Delivery Type".</w:t>
      </w:r>
    </w:p>
    <w:bookmarkEnd w:id="43"/>
    <w:bookmarkStart w:id="44" w:name="reliability-and-data-quality"/>
    <w:p>
      <w:pPr>
        <w:pStyle w:val="Heading3"/>
      </w:pPr>
      <w:r>
        <w:t xml:space="preserve">5.2 Reliability and Data Quality</w:t>
      </w:r>
    </w:p>
    <w:p>
      <w:pPr>
        <w:pStyle w:val="FirstParagraph"/>
      </w:pPr>
      <w:r>
        <w:t xml:space="preserve">The reliability of this PCF analysis heavily relies on the accuracy and completeness of the input data, particularly the \'tezjhtvi\' BOM, and the other specific parameters provided. Where illustrative emission factors are used, they represent industry averages and may not perfectly reflect the specific processes or suppliers of hdjrhhvkow. For a definitive, auditable report, primary data from all stages of the value chain would be collected, including supplier-specific emission factors and actual energy consumption figures.</w:t>
      </w:r>
    </w:p>
    <w:bookmarkEnd w:id="44"/>
    <w:bookmarkStart w:id="48" w:name="X8877664c7f8833a514558f437f739c3634cd437"/>
    <w:p>
      <w:pPr>
        <w:pStyle w:val="Heading3"/>
      </w:pPr>
      <w:r>
        <w:t xml:space="preserve">5.3 Adherence to GHG Protocol and 2026 Updates</w:t>
      </w:r>
    </w:p>
    <w:bookmarkStart w:id="45" w:name="accounting-standard-ghg-protocol"/>
    <w:p>
      <w:pPr>
        <w:pStyle w:val="Heading4"/>
      </w:pPr>
      <w:r>
        <w:t xml:space="preserve">5.3.1 Accounting Standard: GHG Protocol</w:t>
      </w:r>
    </w:p>
    <w:p>
      <w:pPr>
        <w:pStyle w:val="FirstParagraph"/>
      </w:pPr>
      <w:r>
        <w:t xml:space="preserve">This analysis strictly adheres to the GHG Protocol as the accounting standard. Emissions are categorized into:</w:t>
      </w:r>
    </w:p>
    <w:p>
      <w:pPr>
        <w:numPr>
          <w:ilvl w:val="0"/>
          <w:numId w:val="1011"/>
        </w:numPr>
        <w:pStyle w:val="Compact"/>
      </w:pPr>
      <w:r>
        <w:rPr>
          <w:bCs/>
          <w:b/>
        </w:rPr>
        <w:t xml:space="preserve">Scope 1:</w:t>
      </w:r>
      <w:r>
        <w:t xml:space="preserve"> </w:t>
      </w:r>
      <w:r>
        <w:t xml:space="preserve">Direct GHG emissions from sources owned or controlled by the company.</w:t>
      </w:r>
    </w:p>
    <w:p>
      <w:pPr>
        <w:numPr>
          <w:ilvl w:val="0"/>
          <w:numId w:val="1011"/>
        </w:numPr>
        <w:pStyle w:val="Compact"/>
      </w:pPr>
      <w:r>
        <w:rPr>
          <w:bCs/>
          <w:b/>
        </w:rPr>
        <w:t xml:space="preserve">Scope 2:</w:t>
      </w:r>
      <w:r>
        <w:t xml:space="preserve"> </w:t>
      </w:r>
      <w:r>
        <w:t xml:space="preserve">Indirect GHG emissions from the generation of purchased electricity, heat, or steam consumed by the company.</w:t>
      </w:r>
    </w:p>
    <w:p>
      <w:pPr>
        <w:numPr>
          <w:ilvl w:val="0"/>
          <w:numId w:val="1011"/>
        </w:numPr>
        <w:pStyle w:val="Compact"/>
      </w:pPr>
      <w:r>
        <w:rPr>
          <w:bCs/>
          <w:b/>
        </w:rPr>
        <w:t xml:space="preserve">Scope 3:</w:t>
      </w:r>
      <w:r>
        <w:t xml:space="preserve"> </w:t>
      </w:r>
      <w:r>
        <w:t xml:space="preserve">All other indirect GHG emissions that occur in the value chain of the reporting company, including both upstream and downstream emissions.</w:t>
      </w:r>
    </w:p>
    <w:p>
      <w:pPr>
        <w:pStyle w:val="FirstParagraph"/>
      </w:pPr>
      <w:r>
        <w:t xml:space="preserve">The system boundaries and allocation methods are defined to align with GHG Protocol principles of relevance, completeness, consistency, transparency, and accuracy.</w:t>
      </w:r>
    </w:p>
    <w:bookmarkEnd w:id="45"/>
    <w:bookmarkStart w:id="46" w:name="X504f4a86e01fdcfa46a4589bb1b5e0cfaad8629"/>
    <w:p>
      <w:pPr>
        <w:pStyle w:val="Heading4"/>
      </w:pPr>
      <w:r>
        <w:t xml:space="preserve">5.3.2 2026 Land Sector and Removals (LSR) Standard Update</w:t>
      </w:r>
    </w:p>
    <w:p>
      <w:pPr>
        <w:pStyle w:val="FirstParagraph"/>
      </w:pPr>
      <w:r>
        <w:t xml:space="preserve">The GHG Protocol\'s Land Sector and Removals (LSR) Standard, taking effect on January 1, 2027, provides new requirements and guidance for quantifying, reporting, and tracking land emissions and CO₂ removals. While mrvnnpvzzl\'s direct manufacturing may not involve significant land use, its application is crucial for companies that:</w:t>
      </w:r>
    </w:p>
    <w:p>
      <w:pPr>
        <w:numPr>
          <w:ilvl w:val="0"/>
          <w:numId w:val="1012"/>
        </w:numPr>
        <w:pStyle w:val="Compact"/>
      </w:pPr>
      <w:r>
        <w:t xml:space="preserve">Own or control land.</w:t>
      </w:r>
    </w:p>
    <w:p>
      <w:pPr>
        <w:numPr>
          <w:ilvl w:val="0"/>
          <w:numId w:val="1012"/>
        </w:numPr>
        <w:pStyle w:val="Compact"/>
      </w:pPr>
      <w:r>
        <w:t xml:space="preserve">Purchase or sell products produced on agricultural lands (relevant for raw material sourcing).</w:t>
      </w:r>
    </w:p>
    <w:p>
      <w:pPr>
        <w:numPr>
          <w:ilvl w:val="0"/>
          <w:numId w:val="1012"/>
        </w:numPr>
        <w:pStyle w:val="Compact"/>
      </w:pPr>
      <w:r>
        <w:t xml:space="preserve">Engage in other relevant land-based activities in their value chain.</w:t>
      </w:r>
    </w:p>
    <w:p>
      <w:pPr>
        <w:pStyle w:val="FirstParagraph"/>
      </w:pPr>
      <w:r>
        <w:t xml:space="preserve">The LSR Standard covers land management and land use change, CO₂ removals with storage, and emissions from biogenic products. Although the full guidance is expected in Q2 2026, hdjrhhvkow should prepare to integrate land-based emissions and removals from its supply chain, particularly if \'tezjhtvi\' includes agricultural or bio-based materials.</w:t>
      </w:r>
    </w:p>
    <w:bookmarkEnd w:id="46"/>
    <w:bookmarkStart w:id="47" w:name="scope-3-compliance-2026-requirements"/>
    <w:p>
      <w:pPr>
        <w:pStyle w:val="Heading4"/>
      </w:pPr>
      <w:r>
        <w:t xml:space="preserve">5.3.3 Scope 3 Compliance (2026 Requirements)</w:t>
      </w:r>
    </w:p>
    <w:p>
      <w:pPr>
        <w:pStyle w:val="FirstParagraph"/>
      </w:pPr>
      <w:r>
        <w:t xml:space="preserve">The 2026 updates to the GHG Protocol Scope 3 Standard introduce significant changes to enhance data quality and completeness. A key requirement for compliance is to ensure at least</w:t>
      </w:r>
      <w:r>
        <w:t xml:space="preserve"> </w:t>
      </w:r>
      <w:r>
        <w:rPr>
          <w:bCs/>
          <w:b/>
        </w:rPr>
        <w:t xml:space="preserve">95% coverage for Scope 3 reporting</w:t>
      </w:r>
      <w:r>
        <w:t xml:space="preserve">. This means companies must quantify the vast majority of their required Scope 3 emissions before any justified exclusions, which must also be disclosed and quantified.</w:t>
      </w:r>
    </w:p>
    <w:p>
      <w:pPr>
        <w:pStyle w:val="BodyText"/>
      </w:pPr>
      <w:r>
        <w:t xml:space="preserve">Furthermore, the updates emphasize mandatory disaggregation of reported Scope 3 emissions data by source type (primary vs. secondary data) to improve transparency and reliability. hdjrhhvkow must strive to collect primary data for key Scope 3 categories to meet these stricter reporting requirements and enhance the credibility of its emissions disclosures.</w:t>
      </w:r>
    </w:p>
    <w:bookmarkEnd w:id="47"/>
    <w:bookmarkEnd w:id="48"/>
    <w:bookmarkStart w:id="49" w:name="recommendations"/>
    <w:p>
      <w:pPr>
        <w:pStyle w:val="Heading3"/>
      </w:pPr>
      <w:r>
        <w:t xml:space="preserve">5.4 Recommendations</w:t>
      </w:r>
    </w:p>
    <w:p>
      <w:pPr>
        <w:numPr>
          <w:ilvl w:val="0"/>
          <w:numId w:val="1013"/>
        </w:numPr>
        <w:pStyle w:val="Compact"/>
      </w:pPr>
      <w:r>
        <w:rPr>
          <w:bCs/>
          <w:b/>
        </w:rPr>
        <w:t xml:space="preserve">Data Enhancement:</w:t>
      </w:r>
      <w:r>
        <w:t xml:space="preserve"> </w:t>
      </w:r>
      <w:r>
        <w:t xml:space="preserve">Prioritize collecting primary, supplier-specific data for materials (especially for \'tezjhtvi\') and transportation (actual distances, modes, and load factors) to improve calculation accuracy.</w:t>
      </w:r>
    </w:p>
    <w:p>
      <w:pPr>
        <w:numPr>
          <w:ilvl w:val="0"/>
          <w:numId w:val="1013"/>
        </w:numPr>
        <w:pStyle w:val="Compact"/>
      </w:pPr>
      <w:r>
        <w:rPr>
          <w:bCs/>
          <w:b/>
        </w:rPr>
        <w:t xml:space="preserve">Renewable Energy Optimization:</w:t>
      </w:r>
      <w:r>
        <w:t xml:space="preserve"> </w:t>
      </w:r>
      <w:r>
        <w:t xml:space="preserve">Continue to increase renewable energy usage (\'hhhkmdiopp\') in manufacturing and explore options for renewable energy procurement in other parts of the value chain.</w:t>
      </w:r>
    </w:p>
    <w:p>
      <w:pPr>
        <w:numPr>
          <w:ilvl w:val="0"/>
          <w:numId w:val="1013"/>
        </w:numPr>
        <w:pStyle w:val="Compact"/>
      </w:pPr>
      <w:r>
        <w:rPr>
          <w:bCs/>
          <w:b/>
        </w:rPr>
        <w:t xml:space="preserve">Logistics Efficiency:</w:t>
      </w:r>
      <w:r>
        <w:t xml:space="preserve"> </w:t>
      </w:r>
      <w:r>
        <w:t xml:space="preserve">Evaluate current \'Select Mode\' and \'Delivery Type\' transportation strategies, considering modal shifts to lower-emission options (e.g., sea/rail over air/road where feasible) and optimizing load factors and routes.</w:t>
      </w:r>
    </w:p>
    <w:p>
      <w:pPr>
        <w:numPr>
          <w:ilvl w:val="0"/>
          <w:numId w:val="1013"/>
        </w:numPr>
        <w:pStyle w:val="Compact"/>
      </w:pPr>
      <w:r>
        <w:rPr>
          <w:bCs/>
          <w:b/>
        </w:rPr>
        <w:t xml:space="preserve">Product Design for Circularity:</w:t>
      </w:r>
      <w:r>
        <w:t xml:space="preserve"> </w:t>
      </w:r>
      <w:r>
        <w:t xml:space="preserve">Leverage \'ntudlpizir\' (recyclability) and \'rmoqoxkjkx\' (circular programs) through design choices that facilitate easier disassembly, repair, and material recovery. Expand take-back programs.</w:t>
      </w:r>
    </w:p>
    <w:p>
      <w:pPr>
        <w:numPr>
          <w:ilvl w:val="0"/>
          <w:numId w:val="1013"/>
        </w:numPr>
        <w:pStyle w:val="Compact"/>
      </w:pPr>
      <w:r>
        <w:rPr>
          <w:bCs/>
          <w:b/>
        </w:rPr>
        <w:t xml:space="preserve">Use Phase Efficiency:</w:t>
      </w:r>
      <w:r>
        <w:t xml:space="preserve"> </w:t>
      </w:r>
      <w:r>
        <w:t xml:space="preserve">If feasible, explore design improvements for \'mrvnnpvzzl\' that reduce \'kfrujkxjdh\' (energy consumption in use) without compromising product performance.</w:t>
      </w:r>
    </w:p>
    <w:p>
      <w:pPr>
        <w:numPr>
          <w:ilvl w:val="0"/>
          <w:numId w:val="1013"/>
        </w:numPr>
        <w:pStyle w:val="Compact"/>
      </w:pPr>
      <w:r>
        <w:rPr>
          <w:bCs/>
          <w:b/>
        </w:rPr>
        <w:t xml:space="preserve">GHG Protocol Alignment:</w:t>
      </w:r>
      <w:r>
        <w:t xml:space="preserve"> </w:t>
      </w:r>
      <w:r>
        <w:t xml:space="preserve">Proactively assess the implications of the LSR Standard for upstream material sourcing and prepare for enhanced Scope 3 data collection and disaggregation to meet the 95% coverage requirement and data quality mandates of the 2026 updates.</w: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mrvnnpvzzl</dc:title>
  <dc:creator/>
  <dc:description>High-detail Product Carbon Footprint (PCF) analysis report for mrvnnpvzzl by hdjrhhvkow, following GHG Protocol standards and 2026 updates.</dc:description>
  <dc:language>en</dc:language>
  <cp:keywords/>
  <dcterms:created xsi:type="dcterms:W3CDTF">2026-07-15T05:08:11Z</dcterms:created>
  <dcterms:modified xsi:type="dcterms:W3CDTF">2026-07-15T05:08:11Z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