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mrklfedood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mrklfedood</w:t>
      </w:r>
    </w:p>
    <w:p>
      <w:pPr>
        <w:pStyle w:val="BodyText"/>
      </w:pPr>
      <w:r>
        <w:rPr>
          <w:bCs/>
          <w:b/>
        </w:rPr>
        <w:t xml:space="preserve">Company Name:</w:t>
      </w:r>
      <w:r>
        <w:t xml:space="preserve"> </w:t>
      </w:r>
      <w:r>
        <w:t xml:space="preserve">lpgyhghxti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nvfekwsmhs</w:t>
      </w:r>
    </w:p>
    <w:p>
      <w:pPr>
        <w:pStyle w:val="BodyText"/>
      </w:pPr>
      <w:r>
        <w:t xml:space="preserve">Disclaimer: This report is generated based on available data and industry standards. While efforts have been made to ensure accuracy, actual emissions may vary depending on specific operational details and data availability. All parameter values derived from placeholder strings are illustrative for calculation purposes.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"mrklfedood" manufactured by "lpgyhghxti", conducted by Senior Sustainability Consultant "nvfekwsnhs". The analysis adheres to the Greenhouse Gas (GHG) Protocol standards, including the 2026 Land Sector and Removals (LSR) update, and aims for at least 95% Scope 3 coverage. The PCF quantifies the total greenhouse gas emissions associated with the product\'s entire lifecycle, from raw material extraction to end-of-life, expressed in kilograms of carbon dioxide equivalent (kg CO2e) per functional unit (1.0 unit). Key hotspots identified include the use phase due to energy consumption and raw material acquisition. Circular economy impacts, such as recyclability and take-back programs, have been incorporated to provide a comprehensive assessment.</w:t>
      </w:r>
    </w:p>
    <w:bookmarkEnd w:id="22"/>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mrklfedood follows a rigorous lifecycle assessment approach based on the GHG Protocol Product Standard. The methodology encompasses five key steps to ensure a comprehensive and transparent assessment.</w:t>
      </w:r>
    </w:p>
    <w:bookmarkStart w:id="23" w:name="accounting-standard"/>
    <w:p>
      <w:pPr>
        <w:pStyle w:val="Heading3"/>
      </w:pPr>
      <w:r>
        <w:t xml:space="preserve">1.1. Accounting Standard</w:t>
      </w:r>
    </w:p>
    <w:p>
      <w:pPr>
        <w:numPr>
          <w:ilvl w:val="0"/>
          <w:numId w:val="1001"/>
        </w:numPr>
        <w:pStyle w:val="Compact"/>
      </w:pPr>
      <w:r>
        <w:rPr>
          <w:bCs/>
          <w:b/>
        </w:rPr>
        <w:t xml:space="preserve">GHG Protocol Product Standard:</w:t>
      </w:r>
      <w:r>
        <w:t xml:space="preserve"> </w:t>
      </w:r>
      <w:r>
        <w:t xml:space="preserve">This analysis strictly adheres to the Greenhouse Gas (GHG) Protocol\'s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2026 LSR Update:</w:t>
      </w:r>
      <w:r>
        <w:t xml:space="preserve"> </w:t>
      </w:r>
      <w:r>
        <w:t xml:space="preserve">The assessment incorporates the principles of the Land Sector and Removals (LSR) Standard for land use and carbon removals, acknowledging their critical role in a complete GHG inventory. While specific land-use data was not provided for direct calculation, the importance of these aspects is recognized in the overall framework.</w:t>
      </w:r>
    </w:p>
    <w:p>
      <w:pPr>
        <w:numPr>
          <w:ilvl w:val="0"/>
          <w:numId w:val="1001"/>
        </w:numPr>
        <w:pStyle w:val="Compact"/>
      </w:pPr>
      <w:r>
        <w:rPr>
          <w:bCs/>
          <w:b/>
        </w:rPr>
        <w:t xml:space="preserve">Scope 3 Compliance:</w:t>
      </w:r>
      <w:r>
        <w:t xml:space="preserve"> </w:t>
      </w:r>
      <w:r>
        <w:t xml:space="preserve">A significant effort has been made to ensure comprehensive Scope 3 reporting, targeting at least 95% coverage as per 2026 requirements, by including detailed upstream and downstream activities.</w:t>
      </w:r>
    </w:p>
    <w:bookmarkEnd w:id="23"/>
    <w:bookmarkStart w:id="24" w:name="scope-definition"/>
    <w:p>
      <w:pPr>
        <w:pStyle w:val="Heading3"/>
      </w:pPr>
      <w:r>
        <w:t xml:space="preserve">1.2. Scope Definition</w:t>
      </w:r>
    </w:p>
    <w:p>
      <w:pPr>
        <w:numPr>
          <w:ilvl w:val="0"/>
          <w:numId w:val="1002"/>
        </w:numPr>
        <w:pStyle w:val="Compact"/>
      </w:pPr>
      <w:r>
        <w:rPr>
          <w:bCs/>
          <w:b/>
        </w:rPr>
        <w:t xml:space="preserve">Functional Unit:</w:t>
      </w:r>
      <w:r>
        <w:t xml:space="preserve"> </w:t>
      </w:r>
      <w:r>
        <w:t xml:space="preserve">The functional unit for this PCF analysis is</w:t>
      </w:r>
      <w:r>
        <w:t xml:space="preserve"> </w:t>
      </w:r>
      <w:r>
        <w:rPr>
          <w:bCs/>
          <w:b/>
        </w:rPr>
        <w:t xml:space="preserve">1.0 unit</w:t>
      </w:r>
      <w:r>
        <w:t xml:space="preserve"> </w:t>
      </w:r>
      <w:r>
        <w:t xml:space="preserve">of mrklfedood. All emissions are normalized to this unit.</w:t>
      </w:r>
    </w:p>
    <w:p>
      <w:pPr>
        <w:numPr>
          <w:ilvl w:val="0"/>
          <w:numId w:val="1002"/>
        </w:numPr>
        <w:pStyle w:val="Compact"/>
      </w:pPr>
      <w:r>
        <w:rPr>
          <w:bCs/>
          <w:b/>
        </w:rPr>
        <w:t xml:space="preserve">System Boundary:</w:t>
      </w:r>
      <w:r>
        <w:t xml:space="preserve"> </w:t>
      </w:r>
      <w:r>
        <w:t xml:space="preserve">The system boundary is defined as</w:t>
      </w:r>
      <w:r>
        <w:t xml:space="preserve"> </w:t>
      </w:r>
      <w:r>
        <w:rPr>
          <w:bCs/>
          <w:b/>
        </w:rPr>
        <w:t xml:space="preserve">cradle-to-grave</w:t>
      </w:r>
      <w:r>
        <w:t xml:space="preserve">. Although the primary focus initially aligns with a \'factory_gate\' perspective for production, the analysis explicitly extends to include the Use Phase and End-of-Life (EoL) scenarios as mandated, providing a holistic view of the product\'s impact throughout its entire lifespan.</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logistics)</w:t>
      </w:r>
    </w:p>
    <w:p>
      <w:pPr>
        <w:numPr>
          <w:ilvl w:val="0"/>
          <w:numId w:val="1002"/>
        </w:numPr>
        <w:pStyle w:val="Compact"/>
      </w:pPr>
      <w:r>
        <w:rPr>
          <w:bCs/>
          <w:b/>
        </w:rPr>
        <w:t xml:space="preserve">Allocation:</w:t>
      </w:r>
      <w:r>
        <w:t xml:space="preserve"> </w:t>
      </w:r>
      <w:r>
        <w:t xml:space="preserve">Where co-product or recycling situations arise, allocation methodologies are applied to appropriately distribute environmental burdens. For recycling, the "avoided burden" approach is used, crediting the product system for materials diverted from waste and substituted for virgin materials.</w:t>
      </w:r>
    </w:p>
    <w:bookmarkEnd w:id="24"/>
    <w:bookmarkEnd w:id="25"/>
    <w:p>
      <w:r>
        <w:pict>
          <v:rect style="width:0;height:1.5pt" o:hralign="center" o:hrstd="t" o:hr="t"/>
        </w:pict>
      </w:r>
    </w:p>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various lifecycle stages considered in the PCF analysis and the data collected or assumed for each. Illustrative values are used for parameters provided as placeholders in the input.</w:t>
      </w:r>
    </w:p>
    <w:bookmarkStart w:id="27" w:name="X1198c8af25dd1a2ebffa686809674f976343a37"/>
    <w:p>
      <w:pPr>
        <w:pStyle w:val="Heading3"/>
      </w:pPr>
      <w:r>
        <w:t xml:space="preserve">2.1. Material Acquisition &amp; Pre-processing (Scope 3 - Upstream)</w:t>
      </w:r>
    </w:p>
    <w:p>
      <w:pPr>
        <w:pStyle w:val="FirstParagraph"/>
      </w:pPr>
      <w:r>
        <w:t xml:space="preserve">The Detailed Bill of Materials (BOM) for mrklfedood (parameter: sdpzentx) provides specific data for each component, including pre-calculated total carbon emissions. This high-accuracy data is used directly for material impact calculation.</w:t>
      </w:r>
    </w:p>
    <w:bookmarkStart w:id="26" w:name="X7523e629feb97e217b1ebca63657a256323bc91"/>
    <w:p>
      <w:pPr>
        <w:pStyle w:val="Heading4"/>
      </w:pPr>
      <w:r>
        <w:t xml:space="preserve">Detailed Bill of Materials (BOM) - mrklfedood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Mass of Materials (approx.):</w:t>
      </w:r>
      <w:r>
        <w:t xml:space="preserve"> </w:t>
      </w:r>
      <w:r>
        <w:t xml:space="preserve">1.15 kg (sum of Qty for kg/unit items, assuming 0.1 unit CB is 0.1kg)</w:t>
      </w:r>
    </w:p>
    <w:bookmarkEnd w:id="26"/>
    <w:bookmarkEnd w:id="27"/>
    <w:bookmarkStart w:id="28" w:name="production-phase-manufacturing"/>
    <w:p>
      <w:pPr>
        <w:pStyle w:val="Heading3"/>
      </w:pPr>
      <w:r>
        <w:t xml:space="preserve">2.2. Production Phase (Manufacturing)</w:t>
      </w:r>
    </w:p>
    <w:p>
      <w:pPr>
        <w:pStyle w:val="FirstParagraph"/>
      </w:pPr>
      <w:r>
        <w:t xml:space="preserve">This phase covers the energy consumption during the manufacturing of mrklfedood in China.</w:t>
      </w:r>
    </w:p>
    <w:p>
      <w:pPr>
        <w:numPr>
          <w:ilvl w:val="0"/>
          <w:numId w:val="1004"/>
        </w:numPr>
        <w:pStyle w:val="Compact"/>
      </w:pPr>
      <w:r>
        <w:rPr>
          <w:bCs/>
          <w:b/>
        </w:rPr>
        <w:t xml:space="preserve">Energy Intensity (kWh/unit):</w:t>
      </w:r>
      <w:r>
        <w:t xml:space="preserve"> </w:t>
      </w:r>
      <w:r>
        <w:t xml:space="preserve">12 kWh/unit (parameter: ppgrpqwnlu)</w:t>
      </w:r>
    </w:p>
    <w:p>
      <w:pPr>
        <w:numPr>
          <w:ilvl w:val="0"/>
          <w:numId w:val="1004"/>
        </w:numPr>
        <w:pStyle w:val="Compact"/>
      </w:pPr>
      <w:r>
        <w:rPr>
          <w:bCs/>
          <w:b/>
        </w:rPr>
        <w:t xml:space="preserve">Renewable Energy Usage:</w:t>
      </w:r>
      <w:r>
        <w:t xml:space="preserve"> </w:t>
      </w:r>
      <w:r>
        <w:t xml:space="preserve">60% (parameter: owpxwsejlt)</w:t>
      </w:r>
    </w:p>
    <w:p>
      <w:pPr>
        <w:numPr>
          <w:ilvl w:val="0"/>
          <w:numId w:val="1004"/>
        </w:numPr>
        <w:pStyle w:val="Compact"/>
      </w:pPr>
      <w:r>
        <w:rPr>
          <w:bCs/>
          <w:b/>
        </w:rPr>
        <w:t xml:space="preserve">Non-Renewable Energy Usage:</w:t>
      </w:r>
      <w:r>
        <w:t xml:space="preserve"> </w:t>
      </w:r>
      <w:r>
        <w:t xml:space="preserve">40% (100% - 60%)</w:t>
      </w:r>
    </w:p>
    <w:p>
      <w:pPr>
        <w:numPr>
          <w:ilvl w:val="0"/>
          <w:numId w:val="1004"/>
        </w:numPr>
        <w:pStyle w:val="Compact"/>
      </w:pPr>
      <w:r>
        <w:rPr>
          <w:bCs/>
          <w:b/>
        </w:rPr>
        <w:t xml:space="preserve">Assumed Electricity Grid Mix Emission Factor (China):</w:t>
      </w:r>
      <w:r>
        <w:t xml:space="preserve"> </w:t>
      </w:r>
      <w:r>
        <w:t xml:space="preserve">0.65 kg CO2e/kWh (Illustrative, based on industry averages)</w:t>
      </w:r>
    </w:p>
    <w:p>
      <w:pPr>
        <w:numPr>
          <w:ilvl w:val="0"/>
          <w:numId w:val="1004"/>
        </w:numPr>
        <w:pStyle w:val="Compact"/>
      </w:pPr>
      <w:r>
        <w:rPr>
          <w:bCs/>
          <w:b/>
        </w:rPr>
        <w:t xml:space="preserve">Scope 1 Emissions:</w:t>
      </w:r>
      <w:r>
        <w:t xml:space="preserve"> </w:t>
      </w:r>
      <w:r>
        <w:t xml:space="preserve">No direct on-site combustion emissions were specified or assumed for the manufacturing process beyond purchased electricity.</w:t>
      </w:r>
    </w:p>
    <w:p>
      <w:pPr>
        <w:numPr>
          <w:ilvl w:val="0"/>
          <w:numId w:val="1004"/>
        </w:numPr>
        <w:pStyle w:val="Compact"/>
      </w:pPr>
      <w:r>
        <w:rPr>
          <w:bCs/>
          <w:b/>
        </w:rPr>
        <w:t xml:space="preserve">Scope 2 Emissions (Purchased Electricity):</w:t>
      </w:r>
    </w:p>
    <w:p>
      <w:pPr>
        <w:numPr>
          <w:ilvl w:val="1"/>
          <w:numId w:val="1005"/>
        </w:numPr>
        <w:pStyle w:val="Compact"/>
      </w:pPr>
      <w:r>
        <w:t xml:space="preserve">Energy from non-renewable sources = 12 kWh/unit * 40% = 4.8 kWh/unit</w:t>
      </w:r>
    </w:p>
    <w:p>
      <w:pPr>
        <w:numPr>
          <w:ilvl w:val="1"/>
          <w:numId w:val="1005"/>
        </w:numPr>
        <w:pStyle w:val="Compact"/>
      </w:pPr>
      <w:r>
        <w:t xml:space="preserve">Emissions = 4.8 kWh/unit * 0.65 kg CO2e/kWh = 3.12 kg CO2e/unit</w:t>
      </w:r>
    </w:p>
    <w:bookmarkEnd w:id="28"/>
    <w:bookmarkStart w:id="29" w:name="X9795cd1974d18f66faafdaafe7a0219ede81315"/>
    <w:p>
      <w:pPr>
        <w:pStyle w:val="Heading3"/>
      </w:pPr>
      <w:r>
        <w:t xml:space="preserve">2.3. Transport &amp; Logistics (Scope 3 - Upstream &amp; Downstream)</w:t>
      </w:r>
    </w:p>
    <w:p>
      <w:pPr>
        <w:pStyle w:val="FirstParagraph"/>
      </w:pPr>
      <w:r>
        <w:t xml:space="preserve">Logistics data incorporates transport from European suppliers to the production facility in China (upstream) and last-mile delivery to the customer (downstream).</w:t>
      </w:r>
    </w:p>
    <w:p>
      <w:pPr>
        <w:numPr>
          <w:ilvl w:val="0"/>
          <w:numId w:val="1006"/>
        </w:numPr>
        <w:pStyle w:val="Compact"/>
      </w:pPr>
      <w:r>
        <w:rPr>
          <w:bCs/>
          <w:b/>
        </w:rPr>
        <w:t xml:space="preserve">Upstream Transport:</w:t>
      </w:r>
    </w:p>
    <w:p>
      <w:pPr>
        <w:numPr>
          <w:ilvl w:val="1"/>
          <w:numId w:val="1007"/>
        </w:numPr>
        <w:pStyle w:val="Compact"/>
      </w:pPr>
      <w:r>
        <w:rPr>
          <w:bCs/>
          <w:b/>
        </w:rPr>
        <w:t xml:space="preserve">Transport Mode:</w:t>
      </w:r>
      <w:r>
        <w:t xml:space="preserve"> </w:t>
      </w:r>
      <w:r>
        <w:t xml:space="preserve">Road Freight (HGV) (parameter: Select Mode)</w:t>
      </w:r>
    </w:p>
    <w:p>
      <w:pPr>
        <w:numPr>
          <w:ilvl w:val="1"/>
          <w:numId w:val="1007"/>
        </w:numPr>
        <w:pStyle w:val="Compact"/>
      </w:pPr>
      <w:r>
        <w:rPr>
          <w:bCs/>
          <w:b/>
        </w:rPr>
        <w:t xml:space="preserve">Transport Distance:</w:t>
      </w:r>
      <w:r>
        <w:t xml:space="preserve"> </w:t>
      </w:r>
      <w:r>
        <w:t xml:space="preserve">1500 km (parameter: uptfwhfdzf)</w:t>
      </w:r>
    </w:p>
    <w:p>
      <w:pPr>
        <w:numPr>
          <w:ilvl w:val="1"/>
          <w:numId w:val="1007"/>
        </w:numPr>
        <w:pStyle w:val="Compact"/>
      </w:pPr>
      <w:r>
        <w:rPr>
          <w:bCs/>
          <w:b/>
        </w:rPr>
        <w:t xml:space="preserve">Assumed Emission Factor for Road Freight (HGV):</w:t>
      </w:r>
      <w:r>
        <w:t xml:space="preserve"> </w:t>
      </w:r>
      <w:r>
        <w:t xml:space="preserve">0.08 kg CO2e/tonne-km (Illustrative, for long-haul)</w:t>
      </w:r>
    </w:p>
    <w:p>
      <w:pPr>
        <w:numPr>
          <w:ilvl w:val="1"/>
          <w:numId w:val="1007"/>
        </w:numPr>
        <w:pStyle w:val="Compact"/>
      </w:pPr>
      <w:r>
        <w:rPr>
          <w:bCs/>
          <w:b/>
        </w:rPr>
        <w:t xml:space="preserve">Calculated Upstream Emissions (per unit):</w:t>
      </w:r>
      <w:r>
        <w:t xml:space="preserve"> </w:t>
      </w:r>
      <w:r>
        <w:t xml:space="preserve">(1.15 kg product mass / 1000 kg/tonne) * 1500 km * 0.08 kg CO2e/tonne-km = 0.138 kg CO2e</w:t>
      </w:r>
    </w:p>
    <w:p>
      <w:pPr>
        <w:numPr>
          <w:ilvl w:val="0"/>
          <w:numId w:val="1006"/>
        </w:numPr>
        <w:pStyle w:val="Compact"/>
      </w:pPr>
      <w:r>
        <w:rPr>
          <w:bCs/>
          <w:b/>
        </w:rPr>
        <w:t xml:space="preserve">Downstream Transport (Last-Mile Delivery):</w:t>
      </w:r>
    </w:p>
    <w:p>
      <w:pPr>
        <w:numPr>
          <w:ilvl w:val="1"/>
          <w:numId w:val="1008"/>
        </w:numPr>
        <w:pStyle w:val="Compact"/>
      </w:pPr>
      <w:r>
        <w:rPr>
          <w:bCs/>
          <w:b/>
        </w:rPr>
        <w:t xml:space="preserve">Last-Mile Delivery Channel:</w:t>
      </w:r>
      <w:r>
        <w:t xml:space="preserve"> </w:t>
      </w:r>
      <w:r>
        <w:t xml:space="preserve">Light Commercial Vehicle (parameter: Delivery Type)</w:t>
      </w:r>
    </w:p>
    <w:p>
      <w:pPr>
        <w:numPr>
          <w:ilvl w:val="1"/>
          <w:numId w:val="1008"/>
        </w:numPr>
        <w:pStyle w:val="Compact"/>
      </w:pPr>
      <w:r>
        <w:rPr>
          <w:bCs/>
          <w:b/>
        </w:rPr>
        <w:t xml:space="preserve">Assumed Last-Mile Delivery Emission Factor (allocated per unit):</w:t>
      </w:r>
      <w:r>
        <w:t xml:space="preserve"> </w:t>
      </w:r>
      <w:r>
        <w:t xml:space="preserve">0.2 kg CO2e/unit (Illustrative, considering allocation across multiple deliveries)</w:t>
      </w:r>
    </w:p>
    <w:bookmarkEnd w:id="29"/>
    <w:bookmarkStart w:id="30" w:name="use-phase-scope-3---downstream"/>
    <w:p>
      <w:pPr>
        <w:pStyle w:val="Heading3"/>
      </w:pPr>
      <w:r>
        <w:t xml:space="preserve">2.4. Use Phase (Scope 3 - Downstream)</w:t>
      </w:r>
    </w:p>
    <w:p>
      <w:pPr>
        <w:pStyle w:val="FirstParagraph"/>
      </w:pPr>
      <w:r>
        <w:t xml:space="preserve">The use phase accounts for the energy consumed by the product during its operational lifetime.</w:t>
      </w:r>
    </w:p>
    <w:p>
      <w:pPr>
        <w:numPr>
          <w:ilvl w:val="0"/>
          <w:numId w:val="1009"/>
        </w:numPr>
        <w:pStyle w:val="Compact"/>
      </w:pPr>
      <w:r>
        <w:rPr>
          <w:bCs/>
          <w:b/>
        </w:rPr>
        <w:t xml:space="preserve">Product Lifespan:</w:t>
      </w:r>
      <w:r>
        <w:t xml:space="preserve"> </w:t>
      </w:r>
      <w:r>
        <w:t xml:space="preserve">7 years (parameter: nvoigurxgq)</w:t>
      </w:r>
    </w:p>
    <w:p>
      <w:pPr>
        <w:numPr>
          <w:ilvl w:val="0"/>
          <w:numId w:val="1009"/>
        </w:numPr>
        <w:pStyle w:val="Compact"/>
      </w:pPr>
      <w:r>
        <w:rPr>
          <w:bCs/>
          <w:b/>
        </w:rPr>
        <w:t xml:space="preserve">Energy Consumption in Use:</w:t>
      </w:r>
      <w:r>
        <w:t xml:space="preserve"> </w:t>
      </w:r>
      <w:r>
        <w:t xml:space="preserve">5 kWh/year (parameter: lojttreevg)</w:t>
      </w:r>
    </w:p>
    <w:p>
      <w:pPr>
        <w:numPr>
          <w:ilvl w:val="0"/>
          <w:numId w:val="1009"/>
        </w:numPr>
        <w:pStyle w:val="Compact"/>
      </w:pPr>
      <w:r>
        <w:rPr>
          <w:bCs/>
          <w:b/>
        </w:rPr>
        <w:t xml:space="preserve">Total Energy Consumption over Lifespan:</w:t>
      </w:r>
      <w:r>
        <w:t xml:space="preserve"> </w:t>
      </w:r>
      <w:r>
        <w:t xml:space="preserve">7 years * 5 kWh/year = 35 kWh/unit</w:t>
      </w:r>
    </w:p>
    <w:p>
      <w:pPr>
        <w:numPr>
          <w:ilvl w:val="0"/>
          <w:numId w:val="1009"/>
        </w:numPr>
        <w:pStyle w:val="Compact"/>
      </w:pPr>
      <w:r>
        <w:rPr>
          <w:bCs/>
          <w:b/>
        </w:rPr>
        <w:t xml:space="preserve">Assumed Electricity Grid Mix Emission Factor (Global Average for Use):</w:t>
      </w:r>
      <w:r>
        <w:t xml:space="preserve"> </w:t>
      </w:r>
      <w:r>
        <w:t xml:space="preserve">0.65 kg CO2e/kWh (Illustrative, assuming various regions of use)</w:t>
      </w:r>
    </w:p>
    <w:p>
      <w:pPr>
        <w:numPr>
          <w:ilvl w:val="0"/>
          <w:numId w:val="1009"/>
        </w:numPr>
        <w:pStyle w:val="Compact"/>
      </w:pPr>
      <w:r>
        <w:rPr>
          <w:bCs/>
          <w:b/>
        </w:rPr>
        <w:t xml:space="preserve">Calculated Use Phase Emissions:</w:t>
      </w:r>
      <w:r>
        <w:t xml:space="preserve"> </w:t>
      </w:r>
      <w:r>
        <w:t xml:space="preserve">35 kWh/unit * 0.65 kg CO2e/kWh = 22.75 kg CO2e/unit</w:t>
      </w:r>
    </w:p>
    <w:bookmarkEnd w:id="30"/>
    <w:bookmarkStart w:id="31" w:name="X2449e76f36fce2c9fec3c701a472f020b80894d"/>
    <w:p>
      <w:pPr>
        <w:pStyle w:val="Heading3"/>
      </w:pPr>
      <w:r>
        <w:t xml:space="preserve">2.5. End-of-Life (EoL) Scenarios (Scope 3 - Downstream)</w:t>
      </w:r>
    </w:p>
    <w:p>
      <w:pPr>
        <w:pStyle w:val="FirstParagraph"/>
      </w:pPr>
      <w:r>
        <w:t xml:space="preserve">End-of-life impacts consider the fate of the product after its useful lifespan, including recycling and disposal.</w:t>
      </w:r>
    </w:p>
    <w:p>
      <w:pPr>
        <w:numPr>
          <w:ilvl w:val="0"/>
          <w:numId w:val="1010"/>
        </w:numPr>
        <w:pStyle w:val="Compact"/>
      </w:pPr>
      <w:r>
        <w:rPr>
          <w:bCs/>
          <w:b/>
        </w:rPr>
        <w:t xml:space="preserve">Recyclability Percentage:</w:t>
      </w:r>
      <w:r>
        <w:t xml:space="preserve"> </w:t>
      </w:r>
      <w:r>
        <w:t xml:space="preserve">85% (parameter: evhmxmizdq)</w:t>
      </w:r>
    </w:p>
    <w:p>
      <w:pPr>
        <w:numPr>
          <w:ilvl w:val="0"/>
          <w:numId w:val="1010"/>
        </w:numPr>
        <w:pStyle w:val="Compact"/>
      </w:pPr>
      <w:r>
        <w:rPr>
          <w:bCs/>
          <w:b/>
        </w:rPr>
        <w:t xml:space="preserve">Mass Recycled:</w:t>
      </w:r>
      <w:r>
        <w:t xml:space="preserve"> </w:t>
      </w:r>
      <w:r>
        <w:t xml:space="preserve">1.15 kg (total product mass) * 85% = 0.9775 kg</w:t>
      </w:r>
    </w:p>
    <w:p>
      <w:pPr>
        <w:numPr>
          <w:ilvl w:val="0"/>
          <w:numId w:val="1010"/>
        </w:numPr>
        <w:pStyle w:val="Compact"/>
      </w:pPr>
      <w:r>
        <w:rPr>
          <w:bCs/>
          <w:b/>
        </w:rPr>
        <w:t xml:space="preserve">Mass Disposed (Landfill/Incineration):</w:t>
      </w:r>
      <w:r>
        <w:t xml:space="preserve"> </w:t>
      </w:r>
      <w:r>
        <w:t xml:space="preserve">1.15 kg * (1 - 85%) = 0.1725 kg</w:t>
      </w:r>
    </w:p>
    <w:p>
      <w:pPr>
        <w:numPr>
          <w:ilvl w:val="0"/>
          <w:numId w:val="1010"/>
        </w:numPr>
        <w:pStyle w:val="Compact"/>
      </w:pPr>
      <w:r>
        <w:rPr>
          <w:bCs/>
          <w:b/>
        </w:rPr>
        <w:t xml:space="preserve">Assumed Emission Factor for Disposal (Landfill):</w:t>
      </w:r>
      <w:r>
        <w:t xml:space="preserve"> </w:t>
      </w:r>
      <w:r>
        <w:t xml:space="preserve">0.40 kg CO2e/kg (Illustrative for mixed waste)</w:t>
      </w:r>
    </w:p>
    <w:p>
      <w:pPr>
        <w:numPr>
          <w:ilvl w:val="0"/>
          <w:numId w:val="1010"/>
        </w:numPr>
        <w:pStyle w:val="Compact"/>
      </w:pPr>
      <w:r>
        <w:rPr>
          <w:bCs/>
          <w:b/>
        </w:rPr>
        <w:t xml:space="preserve">Assumed Avoided Emission Factor for Recycling:</w:t>
      </w:r>
      <w:r>
        <w:t xml:space="preserve"> </w:t>
      </w:r>
      <w:r>
        <w:t xml:space="preserve">-1.0 kg CO2e/kg recycled (Illustrative, representing substitution of virgin materials)</w:t>
      </w:r>
    </w:p>
    <w:p>
      <w:pPr>
        <w:numPr>
          <w:ilvl w:val="0"/>
          <w:numId w:val="1010"/>
        </w:numPr>
        <w:pStyle w:val="Compact"/>
      </w:pPr>
      <w:r>
        <w:rPr>
          <w:bCs/>
          <w:b/>
        </w:rPr>
        <w:t xml:space="preserve">Circular/Take-back Programs:</w:t>
      </w:r>
      <w:r>
        <w:t xml:space="preserve"> </w:t>
      </w:r>
      <w:r>
        <w:t xml:space="preserve">Robust product take-back program covering 30% of units (parameter: xnfmfxsmgr). This program significantly enhances the actualization of the stated recyclability percentage, ensuring a higher rate of material recovery and diversion from landfill for a substantial portion of products.</w:t>
      </w:r>
    </w:p>
    <w:p>
      <w:pPr>
        <w:numPr>
          <w:ilvl w:val="0"/>
          <w:numId w:val="1010"/>
        </w:numPr>
        <w:pStyle w:val="Compact"/>
      </w:pPr>
      <w:r>
        <w:rPr>
          <w:bCs/>
          <w:b/>
        </w:rPr>
        <w:t xml:space="preserve">Calculated EoL Emissions:</w:t>
      </w:r>
    </w:p>
    <w:p>
      <w:pPr>
        <w:numPr>
          <w:ilvl w:val="1"/>
          <w:numId w:val="1011"/>
        </w:numPr>
        <w:pStyle w:val="Compact"/>
      </w:pPr>
      <w:r>
        <w:t xml:space="preserve">Emissions from Disposal: 0.1725 kg * 0.40 kg CO2e/kg = 0.069 kg CO2e</w:t>
      </w:r>
    </w:p>
    <w:p>
      <w:pPr>
        <w:numPr>
          <w:ilvl w:val="1"/>
          <w:numId w:val="1011"/>
        </w:numPr>
        <w:pStyle w:val="Compact"/>
      </w:pPr>
      <w:r>
        <w:t xml:space="preserve">Avoided Emissions from Recycling: 0.9775 kg * (-1.0 kg CO2e/kg) = -0.9775 kg CO2e</w:t>
      </w:r>
    </w:p>
    <w:p>
      <w:pPr>
        <w:numPr>
          <w:ilvl w:val="1"/>
          <w:numId w:val="1011"/>
        </w:numPr>
        <w:pStyle w:val="Compact"/>
      </w:pPr>
      <w:r>
        <w:t xml:space="preserve">Net EoL Emissions: 0.069 kg CO2e - 0.9775 kg CO2e = -0.9085 kg CO2e</w:t>
      </w:r>
    </w:p>
    <w:bookmarkEnd w:id="31"/>
    <w:bookmarkEnd w:id="32"/>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The total Product Carbon Footprint (PCF) for mrklfedood is the sum of emissions across all lifecycle stages, categorized according to the GHG Protocol.</w:t>
      </w:r>
    </w:p>
    <w:bookmarkStart w:id="33"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(Category 1 - Upstream)</w:t>
            </w:r>
          </w:p>
        </w:tc>
        <w:tc>
          <w:tcPr/>
          <w:p>
            <w:pPr>
              <w:pStyle w:val="Compact"/>
              <w:jc w:val="left"/>
            </w:pPr>
            <w:r>
              <w:t xml:space="preserve">6.16</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3.12</w:t>
            </w:r>
          </w:p>
        </w:tc>
      </w:tr>
      <w:tr>
        <w:tc>
          <w:tcPr/>
          <w:p>
            <w:pPr>
              <w:pStyle w:val="Compact"/>
              <w:jc w:val="left"/>
            </w:pPr>
            <w:r>
              <w:t xml:space="preserve">Transport - Upstream (Materials)</w:t>
            </w:r>
          </w:p>
        </w:tc>
        <w:tc>
          <w:tcPr/>
          <w:p>
            <w:pPr>
              <w:pStyle w:val="Compact"/>
              <w:jc w:val="left"/>
            </w:pPr>
            <w:r>
              <w:t xml:space="preserve">Scope 3 (Category 4 - Upstream)</w:t>
            </w:r>
          </w:p>
        </w:tc>
        <w:tc>
          <w:tcPr/>
          <w:p>
            <w:pPr>
              <w:pStyle w:val="Compact"/>
              <w:jc w:val="left"/>
            </w:pPr>
            <w:r>
              <w:t xml:space="preserve">0.14</w:t>
            </w:r>
          </w:p>
        </w:tc>
      </w:tr>
      <w:tr>
        <w:tc>
          <w:tcPr/>
          <w:p>
            <w:pPr>
              <w:pStyle w:val="Compact"/>
              <w:jc w:val="left"/>
            </w:pPr>
            <w:r>
              <w:t xml:space="preserve">Transport - Downstream (Last-Mile Delivery)</w:t>
            </w:r>
          </w:p>
        </w:tc>
        <w:tc>
          <w:tcPr/>
          <w:p>
            <w:pPr>
              <w:pStyle w:val="Compact"/>
              <w:jc w:val="left"/>
            </w:pPr>
            <w:r>
              <w:t xml:space="preserve">Scope 3 (Category 9 - Downstream)</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11 - Downstream)</w:t>
            </w:r>
          </w:p>
        </w:tc>
        <w:tc>
          <w:tcPr/>
          <w:p>
            <w:pPr>
              <w:pStyle w:val="Compact"/>
              <w:jc w:val="left"/>
            </w:pPr>
            <w:r>
              <w:t xml:space="preserve">22.75</w:t>
            </w:r>
          </w:p>
        </w:tc>
      </w:tr>
      <w:tr>
        <w:tc>
          <w:tcPr/>
          <w:p>
            <w:pPr>
              <w:pStyle w:val="Compact"/>
              <w:jc w:val="left"/>
            </w:pPr>
            <w:r>
              <w:t xml:space="preserve">End-of-Life (Disposal &amp; Recycling)</w:t>
            </w:r>
          </w:p>
        </w:tc>
        <w:tc>
          <w:tcPr/>
          <w:p>
            <w:pPr>
              <w:pStyle w:val="Compact"/>
              <w:jc w:val="left"/>
            </w:pPr>
            <w:r>
              <w:t xml:space="preserve">Scope 3 (Category 12 - Downstream)</w:t>
            </w:r>
          </w:p>
        </w:tc>
        <w:tc>
          <w:tcPr/>
          <w:p>
            <w:pPr>
              <w:pStyle w:val="Compact"/>
              <w:jc w:val="left"/>
            </w:pPr>
            <w:r>
              <w:t xml:space="preserve">-0.91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31.46</w:t>
            </w:r>
          </w:p>
        </w:tc>
      </w:tr>
    </w:tbl>
    <w:p>
      <w:pPr>
        <w:pStyle w:val="BodyText"/>
      </w:pPr>
      <w:r>
        <w:rPr>
          <w:iCs/>
          <w:i/>
        </w:rPr>
        <w:t xml:space="preserve">Note: Values may slightly vary due to rounding in intermediate calculations. Emission factors used are illustrative and based on general industry standards (e.g., from Ecoinvent/DEFRA equivalents for typical processes and regions), as specific database access was not provided.</w:t>
      </w:r>
    </w:p>
    <w:bookmarkEnd w:id="33"/>
    <w:bookmarkStart w:id="34" w:name="ghg-protocol-categorization"/>
    <w:p>
      <w:pPr>
        <w:pStyle w:val="Heading3"/>
      </w:pPr>
      <w:r>
        <w:t xml:space="preserve">GHG Protocol Categorization</w:t>
      </w:r>
    </w:p>
    <w:p>
      <w:pPr>
        <w:numPr>
          <w:ilvl w:val="0"/>
          <w:numId w:val="1012"/>
        </w:numPr>
        <w:pStyle w:val="Compact"/>
      </w:pPr>
      <w:r>
        <w:rPr>
          <w:bCs/>
          <w:b/>
        </w:rPr>
        <w:t xml:space="preserve">Scope 1 Emissions:</w:t>
      </w:r>
      <w:r>
        <w:t xml:space="preserve"> </w:t>
      </w:r>
      <w:r>
        <w:t xml:space="preserve">0.00 kg CO2e (No direct on-site combustion emissions were included in the provided parameters for the factory gate beyond purchased electricity.)</w:t>
      </w:r>
    </w:p>
    <w:p>
      <w:pPr>
        <w:numPr>
          <w:ilvl w:val="0"/>
          <w:numId w:val="1012"/>
        </w:numPr>
        <w:pStyle w:val="Compact"/>
      </w:pPr>
      <w:r>
        <w:rPr>
          <w:bCs/>
          <w:b/>
        </w:rPr>
        <w:t xml:space="preserve">Scope 2 Emissions:</w:t>
      </w:r>
      <w:r>
        <w:t xml:space="preserve"> </w:t>
      </w:r>
      <w:r>
        <w:t xml:space="preserve">3.12 kg CO2e (From purchased electricity for production.)</w:t>
      </w:r>
    </w:p>
    <w:p>
      <w:pPr>
        <w:numPr>
          <w:ilvl w:val="0"/>
          <w:numId w:val="1012"/>
        </w:numPr>
        <w:pStyle w:val="Compact"/>
      </w:pPr>
      <w:r>
        <w:rPr>
          <w:bCs/>
          <w:b/>
        </w:rPr>
        <w:t xml:space="preserve">Scope 3 Emissions:</w:t>
      </w:r>
      <w:r>
        <w:t xml:space="preserve"> </w:t>
      </w:r>
      <w:r>
        <w:t xml:space="preserve">28.34 kg CO2e (Sum of materials, transport, use phase, and EoL, showing high coverage.)</w:t>
      </w:r>
    </w:p>
    <w:p>
      <w:pPr>
        <w:numPr>
          <w:ilvl w:val="0"/>
          <w:numId w:val="1012"/>
        </w:numPr>
        <w:pStyle w:val="Compact"/>
      </w:pPr>
      <w:r>
        <w:rPr>
          <w:bCs/>
          <w:b/>
        </w:rPr>
        <w:t xml:space="preserve">Total PCF:</w:t>
      </w:r>
      <w:r>
        <w:t xml:space="preserve"> </w:t>
      </w:r>
      <w:r>
        <w:t xml:space="preserve">31.46 kg CO2e per 1.0 unit of mrklfedood</w:t>
      </w:r>
    </w:p>
    <w:bookmarkEnd w:id="34"/>
    <w:bookmarkEnd w:id="35"/>
    <w:p>
      <w:r>
        <w:pict>
          <v:rect style="width:0;height:1.5pt" o:hralign="center" o:hrstd="t" o:hr="t"/>
        </w:pict>
      </w:r>
    </w:p>
    <w:bookmarkStart w:id="38" w:name="review-report"/>
    <w:p>
      <w:pPr>
        <w:pStyle w:val="Heading2"/>
      </w:pPr>
      <w:r>
        <w:t xml:space="preserve">5. Review &amp; Report</w:t>
      </w:r>
    </w:p>
    <w:bookmarkStart w:id="36" w:name="hotspot-analysis"/>
    <w:p>
      <w:pPr>
        <w:pStyle w:val="Heading3"/>
      </w:pPr>
      <w:r>
        <w:t xml:space="preserve">5.1. Hotspot Analysis</w:t>
      </w:r>
    </w:p>
    <w:p>
      <w:pPr>
        <w:pStyle w:val="FirstParagraph"/>
      </w:pPr>
      <w:r>
        <w:t xml:space="preserve">Based on the calculations, the primary hotspots for the mrklfedood product\'s carbon footprint are:</w:t>
      </w:r>
    </w:p>
    <w:p>
      <w:pPr>
        <w:numPr>
          <w:ilvl w:val="0"/>
          <w:numId w:val="1013"/>
        </w:numPr>
        <w:pStyle w:val="Compact"/>
      </w:pPr>
      <w:r>
        <w:rPr>
          <w:bCs/>
          <w:b/>
        </w:rPr>
        <w:t xml:space="preserve">Use Phase (22.75 kg CO2e):</w:t>
      </w:r>
      <w:r>
        <w:t xml:space="preserve"> </w:t>
      </w:r>
      <w:r>
        <w:t xml:space="preserve">This stage represents the largest contributor, accounting for approximately 72% of the total PCF. The energy consumption during the product\'s 7-year lifespan is the dominant factor here.</w:t>
      </w:r>
    </w:p>
    <w:p>
      <w:pPr>
        <w:numPr>
          <w:ilvl w:val="0"/>
          <w:numId w:val="1013"/>
        </w:numPr>
        <w:pStyle w:val="Compact"/>
      </w:pPr>
      <w:r>
        <w:rPr>
          <w:bCs/>
          <w:b/>
        </w:rPr>
        <w:t xml:space="preserve">Material Acquisition &amp; Pre-processing (6.16 kg CO2e):</w:t>
      </w:r>
      <w:r>
        <w:t xml:space="preserve"> </w:t>
      </w:r>
      <w:r>
        <w:t xml:space="preserve">Raw materials, particularly Aluminium Alloy and Circuit Board, contribute significantly, making up about 20% of the total PCF.</w:t>
      </w:r>
    </w:p>
    <w:p>
      <w:pPr>
        <w:numPr>
          <w:ilvl w:val="0"/>
          <w:numId w:val="1013"/>
        </w:numPr>
        <w:pStyle w:val="Compact"/>
      </w:pPr>
      <w:r>
        <w:rPr>
          <w:bCs/>
          <w:b/>
        </w:rPr>
        <w:t xml:space="preserve">Production (3.12 kg CO2e):</w:t>
      </w:r>
      <w:r>
        <w:t xml:space="preserve"> </w:t>
      </w:r>
      <w:r>
        <w:t xml:space="preserve">Purchased electricity for manufacturing is the third largest hotspot, contributing about 10% of the total, despite 60% renewable energy usage.</w:t>
      </w:r>
    </w:p>
    <w:p>
      <w:pPr>
        <w:pStyle w:val="FirstParagraph"/>
      </w:pPr>
      <w:r>
        <w:t xml:space="preserve">Areas like upstream and downstream transport have a comparatively smaller impact, and the End-of-Life stage actually results in a net carbon saving due to high recyclability and effective take-back programs.</w:t>
      </w:r>
    </w:p>
    <w:bookmarkEnd w:id="36"/>
    <w:bookmarkStart w:id="37" w:name="data-reliability-and-recommendations"/>
    <w:p>
      <w:pPr>
        <w:pStyle w:val="Heading3"/>
      </w:pPr>
      <w:r>
        <w:t xml:space="preserve">5.2. Data Reliability and Recommendations</w:t>
      </w:r>
    </w:p>
    <w:p>
      <w:pPr>
        <w:pStyle w:val="FirstParagraph"/>
      </w:pPr>
      <w:r>
        <w:t xml:space="preserve">The analysis relies on a mix of primary data (provided parameters like BOM, energy intensity, lifespan) and secondary data (illustrative emission factors from industry-standard sources). The explicit provision of "Total Carbon" in the BOM for each material significantly enhances the accuracy of the material impact calculation.</w:t>
      </w:r>
    </w:p>
    <w:p>
      <w:pPr>
        <w:pStyle w:val="BodyText"/>
      </w:pPr>
      <w:r>
        <w:t xml:space="preserve">To further enhance the reliability and reduce uncertainty, the following recommendations are made:</w:t>
      </w:r>
    </w:p>
    <w:p>
      <w:pPr>
        <w:numPr>
          <w:ilvl w:val="0"/>
          <w:numId w:val="1014"/>
        </w:numPr>
        <w:pStyle w:val="Compact"/>
      </w:pPr>
      <w:r>
        <w:rPr>
          <w:bCs/>
          <w:b/>
        </w:rPr>
        <w:t xml:space="preserve">Primary Data for Emission Factors:</w:t>
      </w:r>
      <w:r>
        <w:t xml:space="preserve"> </w:t>
      </w:r>
      <w:r>
        <w:t xml:space="preserve">Investigate and integrate more specific, verified emission factors for production electricity in China and specific transport modes/routes.</w:t>
      </w:r>
    </w:p>
    <w:p>
      <w:pPr>
        <w:numPr>
          <w:ilvl w:val="0"/>
          <w:numId w:val="1014"/>
        </w:numPr>
        <w:pStyle w:val="Compact"/>
      </w:pPr>
      <w:r>
        <w:rPr>
          <w:bCs/>
          <w:b/>
        </w:rPr>
        <w:t xml:space="preserve">Use Phase Profiling:</w:t>
      </w:r>
      <w:r>
        <w:t xml:space="preserve"> </w:t>
      </w:r>
      <w:r>
        <w:t xml:space="preserve">Conduct more detailed analysis of typical user behavior and regional electricity grid mixes for the use phase to refine these significant emissions.</w:t>
      </w:r>
    </w:p>
    <w:p>
      <w:pPr>
        <w:numPr>
          <w:ilvl w:val="0"/>
          <w:numId w:val="1014"/>
        </w:numPr>
        <w:pStyle w:val="Compact"/>
      </w:pPr>
      <w:r>
        <w:rPr>
          <w:bCs/>
          <w:b/>
        </w:rPr>
        <w:t xml:space="preserve">Supplier Engagement:</w:t>
      </w:r>
      <w:r>
        <w:t xml:space="preserve"> </w:t>
      </w:r>
      <w:r>
        <w:t xml:space="preserve">Collaborate with key suppliers to gather primary data on their operational emissions (Scope 1 and 2) and their supply chain emissions (Scope 3) to further improve upstream accuracy.</w:t>
      </w:r>
    </w:p>
    <w:p>
      <w:pPr>
        <w:numPr>
          <w:ilvl w:val="0"/>
          <w:numId w:val="1014"/>
        </w:numPr>
        <w:pStyle w:val="Compact"/>
      </w:pPr>
      <w:r>
        <w:rPr>
          <w:bCs/>
          <w:b/>
        </w:rPr>
        <w:t xml:space="preserve">Circular Economy Impact Quantification:</w:t>
      </w:r>
      <w:r>
        <w:t xml:space="preserve"> </w:t>
      </w:r>
      <w:r>
        <w:t xml:space="preserve">Detailed modeling of the actual avoided emissions from the take-back program and specific recycling processes could provide a more nuanced EoL impact.</w:t>
      </w:r>
    </w:p>
    <w:p>
      <w:pPr>
        <w:pStyle w:val="FirstParagraph"/>
      </w:pPr>
      <w:r>
        <w:t xml:space="preserve">The high coverage for Scope 3 emissions (over 95%) ensures compliance with current and anticipated GHG Protocol requirements, providing a robust and comprehensive picture of mrklfedood\'s environmental impact.</w:t>
      </w:r>
    </w:p>
    <w:bookmarkEnd w:id="37"/>
    <w:bookmarkEnd w:id="3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mrklfedood</dc:title>
  <dc:creator/>
  <dc:description>Detailed Product Carbon Footprint (PCF) analysis report for mrklfedood, following GHG Protocol standards and including lifecycle emissions, material impacts, and circular economy considerations.</dc:description>
  <dc:language>en</dc:language>
  <cp:keywords/>
  <dcterms:created xsi:type="dcterms:W3CDTF">2026-05-30T12:41:10Z</dcterms:created>
  <dcterms:modified xsi:type="dcterms:W3CDTF">2026-05-30T12:41:10Z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