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mqpkryuuzg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mqpkryuuzg (Smart Home Hub)</w:t>
      </w:r>
    </w:p>
    <w:p>
      <w:pPr>
        <w:pStyle w:val="BodyText"/>
      </w:pPr>
      <w:r>
        <w:rPr>
          <w:bCs/>
          <w:b/>
        </w:rPr>
        <w:t xml:space="preserve">Company:</w:t>
      </w:r>
      <w:r>
        <w:t xml:space="preserve"> </w:t>
      </w:r>
      <w:r>
        <w:t xml:space="preserve">xeyfkoylgn</w:t>
      </w:r>
    </w:p>
    <w:p>
      <w:pPr>
        <w:pStyle w:val="BodyText"/>
      </w:pPr>
      <w:r>
        <w:rPr>
          <w:bCs/>
          <w:b/>
        </w:rPr>
        <w:t xml:space="preserve">Senior Sustainability Consultant:</w:t>
      </w:r>
      <w:r>
        <w:t xml:space="preserve"> </w:t>
      </w:r>
      <w:r>
        <w:t xml:space="preserve">lpxpydhifm</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assessment of the product\'s carbon footprint. While all efforts have been made to ensure accuracy, the actual impact may vary depending on real-world conditions and data availability.</w:t>
      </w:r>
    </w:p>
    <w:bookmarkEnd w:id="20"/>
    <w:p>
      <w:pPr>
        <w:pStyle w:val="BodyText"/>
      </w:pPr>
      <w:r>
        <w:t xml:space="preserve">Generated Date: June 3, 2026</w:t>
      </w:r>
    </w:p>
    <w:bookmarkStart w:id="42"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mqpkryuuzg (Smart Home Hub)</w:t>
      </w:r>
      <w:r>
        <w:t xml:space="preserve"> </w:t>
      </w:r>
      <w:r>
        <w:t xml:space="preserve">manufactured by</w:t>
      </w:r>
      <w:r>
        <w:t xml:space="preserve"> </w:t>
      </w:r>
      <w:r>
        <w:rPr>
          <w:bCs/>
          <w:b/>
        </w:rPr>
        <w:t xml:space="preserve">xeyfkoylgn</w:t>
      </w:r>
      <w:r>
        <w:t xml:space="preserve">. The analysis was conducted by Senior Sustainability Consultant</w:t>
      </w:r>
      <w:r>
        <w:t xml:space="preserve"> </w:t>
      </w:r>
      <w:r>
        <w:rPr>
          <w:bCs/>
          <w:b/>
        </w:rPr>
        <w:t xml:space="preserve">lpxpydhifm</w:t>
      </w:r>
      <w:r>
        <w:t xml:space="preserve">, adhering strictly to the GHG Protocol accounting standard, including the 2026 Land Sector and Removals (LSR) Standard updates and targeting over 95% Scope 3 coverage. The primary goal is to identify emission hotspots across the product\'s lifecycle from a factory-gate system boundary, with a supply chain focus on Europe and final production in China, to guide strategic sustainability improvements.</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mqpkryuuzg (Smart Home Hub).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Factory-gate to grave. This "cradle-to-grave" approach encompasses all lifecycle stages: raw material extraction and processing, manufacturing, transport (inbound to factory, outbound to market, and last-mile delivery), product use, and end-of-life disposal or recycling.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defines the energy mix and local emission factors for the manufacturing phase.</w:t>
      </w:r>
    </w:p>
    <w:p>
      <w:pPr>
        <w:numPr>
          <w:ilvl w:val="1"/>
          <w:numId w:val="1002"/>
        </w:numPr>
        <w:pStyle w:val="Compact"/>
      </w:pPr>
      <w:r>
        <w:rPr>
          <w:bCs/>
          <w:b/>
        </w:rPr>
        <w:t xml:space="preserve">Supply Chain Focus:</w:t>
      </w:r>
      <w:r>
        <w:t xml:space="preserve"> </w:t>
      </w:r>
      <w:r>
        <w:t xml:space="preserve">Europe Focused. This impacts the transport distances and modes considered for material sourcing and distribution to the primary market.</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specifically the Product Standard. Emissions are categorized into Scope 1 (direct emissions), Scope 2 (indirect emissions from purchased energy), and Scope 3 (all other indirect emissions in the value chain, upstream and downstream). Compliance with the 2026 Land Sector and Removals (LSR) Standard and achieving at least 95% Scope 3 coverage are paramount for this assessment.</w:t>
      </w:r>
    </w:p>
    <w:p>
      <w:pPr>
        <w:numPr>
          <w:ilvl w:val="0"/>
          <w:numId w:val="1001"/>
        </w:numPr>
        <w:pStyle w:val="Compact"/>
      </w:pPr>
      <w:r>
        <w:rPr>
          <w:bCs/>
          <w:b/>
        </w:rPr>
        <w:t xml:space="preserve">Allocation:</w:t>
      </w:r>
      <w:r>
        <w:t xml:space="preserve"> </w:t>
      </w:r>
      <w:r>
        <w:t xml:space="preserve">Where co-production or multi-output processes occur, allocation of environmental impacts is performed based on physical parameters (e.g., mass, energy content) or economic value, as appropriate for the specific process and in line with GHG Protocol guidance.</w:t>
      </w:r>
    </w:p>
    <w:p>
      <w:r>
        <w:pict>
          <v:rect style="width:0;height:1.5pt" o:hralign="center" o:hrstd="t" o:hr="t"/>
        </w:pict>
      </w:r>
    </w:p>
    <w:bookmarkEnd w:id="21"/>
    <w:bookmarkStart w:id="22" w:name="lifecycle-mapping-inventory-stages-lci"/>
    <w:p>
      <w:pPr>
        <w:pStyle w:val="Heading2"/>
      </w:pPr>
      <w:r>
        <w:t xml:space="preserve">2. Lifecycle Mapping &amp; Inventory Stages (LCI)</w:t>
      </w:r>
    </w:p>
    <w:p>
      <w:pPr>
        <w:pStyle w:val="FirstParagraph"/>
      </w:pPr>
      <w:r>
        <w:t xml:space="preserve">The lifecycle of the mqpkryuuzg (Smart Home Hub) has been mapped into the following key stages, for which an inventory of inputs and outputs (LCI) is collected:</w:t>
      </w:r>
    </w:p>
    <w:p>
      <w:pPr>
        <w:numPr>
          <w:ilvl w:val="0"/>
          <w:numId w:val="1003"/>
        </w:numPr>
        <w:pStyle w:val="Compact"/>
      </w:pPr>
      <w:r>
        <w:rPr>
          <w:bCs/>
          <w:b/>
        </w:rPr>
        <w:t xml:space="preserve">A. Raw Material Acquisition &amp; Pre-processing:</w:t>
      </w:r>
      <w:r>
        <w:t xml:space="preserve"> </w:t>
      </w:r>
      <w:r>
        <w:t xml:space="preserve">Extraction, processing, and refining of all raw materials required for the product\'s components.</w:t>
      </w:r>
    </w:p>
    <w:p>
      <w:pPr>
        <w:numPr>
          <w:ilvl w:val="1"/>
          <w:numId w:val="1004"/>
        </w:numPr>
        <w:pStyle w:val="Compact"/>
      </w:pPr>
      <w:r>
        <w:t xml:space="preserve">Detailed Bill of Materials (BOM) for high-accuracy material impact calculation.</w:t>
      </w:r>
    </w:p>
    <w:p>
      <w:pPr>
        <w:numPr>
          <w:ilvl w:val="0"/>
          <w:numId w:val="1003"/>
        </w:numPr>
        <w:pStyle w:val="Compact"/>
      </w:pPr>
      <w:r>
        <w:rPr>
          <w:bCs/>
          <w:b/>
        </w:rPr>
        <w:t xml:space="preserve">B. Manufacturing &amp; Production:</w:t>
      </w:r>
      <w:r>
        <w:t xml:space="preserve"> </w:t>
      </w:r>
      <w:r>
        <w:t xml:space="preserve">All processes at the factory level, including component manufacturing, assembly, packaging, and associated energy consumption.</w:t>
      </w:r>
    </w:p>
    <w:p>
      <w:pPr>
        <w:numPr>
          <w:ilvl w:val="1"/>
          <w:numId w:val="1005"/>
        </w:numPr>
        <w:pStyle w:val="Compact"/>
      </w:pPr>
      <w:r>
        <w:t xml:space="preserve">Energy Intensity (kWh/unit): rynzojdptr</w:t>
      </w:r>
    </w:p>
    <w:p>
      <w:pPr>
        <w:numPr>
          <w:ilvl w:val="1"/>
          <w:numId w:val="1005"/>
        </w:numPr>
        <w:pStyle w:val="Compact"/>
      </w:pPr>
      <w:r>
        <w:t xml:space="preserve">Renewable Energy Usage: yinwfdnveh</w:t>
      </w:r>
    </w:p>
    <w:p>
      <w:pPr>
        <w:numPr>
          <w:ilvl w:val="0"/>
          <w:numId w:val="1003"/>
        </w:numPr>
        <w:pStyle w:val="Compact"/>
      </w:pPr>
      <w:r>
        <w:rPr>
          <w:bCs/>
          <w:b/>
        </w:rPr>
        <w:t xml:space="preserve">C. Transport &amp; Distribution:</w:t>
      </w:r>
    </w:p>
    <w:p>
      <w:pPr>
        <w:numPr>
          <w:ilvl w:val="1"/>
          <w:numId w:val="1006"/>
        </w:numPr>
        <w:pStyle w:val="Compact"/>
      </w:pPr>
      <w:r>
        <w:rPr>
          <w:bCs/>
          <w:b/>
        </w:rPr>
        <w:t xml:space="preserve">Inbound Logistics:</w:t>
      </w:r>
      <w:r>
        <w:t xml:space="preserve"> </w:t>
      </w:r>
      <w:r>
        <w:t xml:space="preserve">Transport of raw materials and components to the manufacturing facility in China (Europe Focused supply chain, implying international shipping).</w:t>
      </w:r>
    </w:p>
    <w:p>
      <w:pPr>
        <w:numPr>
          <w:ilvl w:val="1"/>
          <w:numId w:val="1006"/>
        </w:numPr>
        <w:pStyle w:val="Compact"/>
      </w:pPr>
      <w:r>
        <w:rPr>
          <w:bCs/>
          <w:b/>
        </w:rPr>
        <w:t xml:space="preserve">Outbound Logistics:</w:t>
      </w:r>
      <w:r>
        <w:t xml:space="preserve"> </w:t>
      </w:r>
      <w:r>
        <w:t xml:space="preserve">Transport of finished products from the factory in China to the primary market in Europe.</w:t>
      </w:r>
    </w:p>
    <w:p>
      <w:pPr>
        <w:numPr>
          <w:ilvl w:val="1"/>
          <w:numId w:val="1006"/>
        </w:numPr>
        <w:pStyle w:val="Compact"/>
      </w:pPr>
      <w:r>
        <w:rPr>
          <w:bCs/>
          <w:b/>
        </w:rPr>
        <w:t xml:space="preserve">Last-Mile Delivery:</w:t>
      </w:r>
      <w:r>
        <w:t xml:space="preserve"> </w:t>
      </w:r>
      <w:r>
        <w:t xml:space="preserve">Final delivery to the end-customer.</w:t>
      </w:r>
    </w:p>
    <w:p>
      <w:pPr>
        <w:numPr>
          <w:ilvl w:val="1"/>
          <w:numId w:val="1006"/>
        </w:numPr>
        <w:pStyle w:val="Compact"/>
      </w:pPr>
      <w:r>
        <w:t xml:space="preserve">Transport Mode: Select Mode (Assumed: Ocean Freight for long-distance, Road Freight for shorter/last-mile)</w:t>
      </w:r>
    </w:p>
    <w:p>
      <w:pPr>
        <w:numPr>
          <w:ilvl w:val="1"/>
          <w:numId w:val="1006"/>
        </w:numPr>
        <w:pStyle w:val="Compact"/>
      </w:pPr>
      <w:r>
        <w:t xml:space="preserve">Transport Distance: jvelmvglzf</w:t>
      </w:r>
    </w:p>
    <w:p>
      <w:pPr>
        <w:numPr>
          <w:ilvl w:val="1"/>
          <w:numId w:val="1006"/>
        </w:numPr>
        <w:pStyle w:val="Compact"/>
      </w:pPr>
      <w:r>
        <w:t xml:space="preserve">Last-Mile Delivery Channel: Delivery Type (Assumed: Road Freight - Van/Truck)</w:t>
      </w:r>
    </w:p>
    <w:p>
      <w:pPr>
        <w:numPr>
          <w:ilvl w:val="0"/>
          <w:numId w:val="1003"/>
        </w:numPr>
        <w:pStyle w:val="Compact"/>
      </w:pPr>
      <w:r>
        <w:rPr>
          <w:bCs/>
          <w:b/>
        </w:rPr>
        <w:t xml:space="preserve">D. Use Phase:</w:t>
      </w:r>
      <w:r>
        <w:t xml:space="preserve"> </w:t>
      </w:r>
      <w:r>
        <w:t xml:space="preserve">The period during which the consumer uses the product.</w:t>
      </w:r>
    </w:p>
    <w:p>
      <w:pPr>
        <w:numPr>
          <w:ilvl w:val="1"/>
          <w:numId w:val="1007"/>
        </w:numPr>
        <w:pStyle w:val="Compact"/>
      </w:pPr>
      <w:r>
        <w:t xml:space="preserve">Product Lifespan: tvppldysgm</w:t>
      </w:r>
    </w:p>
    <w:p>
      <w:pPr>
        <w:numPr>
          <w:ilvl w:val="1"/>
          <w:numId w:val="1007"/>
        </w:numPr>
        <w:pStyle w:val="Compact"/>
      </w:pPr>
      <w:r>
        <w:t xml:space="preserve">Energy Consumption in Use: vffnwpxspl</w:t>
      </w:r>
    </w:p>
    <w:p>
      <w:pPr>
        <w:numPr>
          <w:ilvl w:val="0"/>
          <w:numId w:val="1003"/>
        </w:numPr>
        <w:pStyle w:val="Compact"/>
      </w:pPr>
      <w:r>
        <w:rPr>
          <w:bCs/>
          <w:b/>
        </w:rPr>
        <w:t xml:space="preserve">E. End-of-Life (EoL):</w:t>
      </w:r>
      <w:r>
        <w:t xml:space="preserve"> </w:t>
      </w:r>
      <w:r>
        <w:t xml:space="preserve">Disposal, recycling, or recovery of the product and its components at the end of its functional life.</w:t>
      </w:r>
    </w:p>
    <w:p>
      <w:pPr>
        <w:numPr>
          <w:ilvl w:val="1"/>
          <w:numId w:val="1008"/>
        </w:numPr>
        <w:pStyle w:val="Compact"/>
      </w:pPr>
      <w:r>
        <w:t xml:space="preserve">Recyclability Percentage: zjvwezzwoi</w:t>
      </w:r>
    </w:p>
    <w:p>
      <w:pPr>
        <w:numPr>
          <w:ilvl w:val="1"/>
          <w:numId w:val="1008"/>
        </w:numPr>
        <w:pStyle w:val="Compact"/>
      </w:pPr>
      <w:r>
        <w:t xml:space="preserve">Circular/Take-back Programs: ngeqlphytq</w:t>
      </w:r>
    </w:p>
    <w:p>
      <w:r>
        <w:pict>
          <v:rect style="width:0;height:1.5pt" o:hralign="center" o:hrstd="t" o:hr="t"/>
        </w:pict>
      </w:r>
    </w:p>
    <w:bookmarkEnd w:id="22"/>
    <w:bookmarkStart w:id="28" w:name="data-collection-and-inputs"/>
    <w:p>
      <w:pPr>
        <w:pStyle w:val="Heading2"/>
      </w:pPr>
      <w:r>
        <w:t xml:space="preserve">3. Data Collection and Inputs</w:t>
      </w:r>
    </w:p>
    <w:p>
      <w:pPr>
        <w:pStyle w:val="FirstParagraph"/>
      </w:pPr>
      <w:r>
        <w:t xml:space="preserve">Primary and secondary data have been collected to quantify the environmental inputs and outputs for each lifecycle stage. Where primary data was unavailable, high-quality secondary data from established databases (e.g., Ecoinvent, DEFRA) was utilized, carefully selected to match the geographic and technological context.</w:t>
      </w:r>
    </w:p>
    <w:bookmarkStart w:id="23" w:name="detailed-bill-of-materials-bom-analysis"/>
    <w:p>
      <w:pPr>
        <w:pStyle w:val="Heading3"/>
      </w:pPr>
      <w:r>
        <w:t xml:space="preserve">3.1. Detailed Bill of Materials (BOM) Analysis</w:t>
      </w:r>
    </w:p>
    <w:p>
      <w:pPr>
        <w:pStyle w:val="FirstParagraph"/>
      </w:pPr>
      <w:r>
        <w:t xml:space="preserve">The following table presents the detailed Bill of Materials (BOM) for mqpkryuuzg (Smart Home Hub), including the pre-calculated total carbon impact for each component, as provided. These values are directly used in the material impact calculation, ensuring high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t xml:space="preserve">Total Material Carbon Impact:</w:t>
            </w:r>
          </w:p>
        </w:tc>
        <w:tc>
          <w:tcPr/>
          <w:p>
            <w:pPr>
              <w:pStyle w:val="Compact"/>
              <w:jc w:val="left"/>
            </w:pPr>
            <w:r>
              <w:t xml:space="preserve">3.54</w:t>
            </w:r>
          </w:p>
        </w:tc>
      </w:tr>
    </w:tbl>
    <w:bookmarkEnd w:id="23"/>
    <w:bookmarkStart w:id="24" w:name="energy-inputs-for-production"/>
    <w:p>
      <w:pPr>
        <w:pStyle w:val="Heading3"/>
      </w:pPr>
      <w:r>
        <w:t xml:space="preserve">3.2. Energy Inputs for Production</w:t>
      </w:r>
    </w:p>
    <w:p>
      <w:pPr>
        <w:numPr>
          <w:ilvl w:val="0"/>
          <w:numId w:val="1009"/>
        </w:numPr>
        <w:pStyle w:val="Compact"/>
      </w:pPr>
      <w:r>
        <w:rPr>
          <w:bCs/>
          <w:b/>
        </w:rPr>
        <w:t xml:space="preserve">Energy Intensity (kWh/unit):</w:t>
      </w:r>
      <w:r>
        <w:t xml:space="preserve"> </w:t>
      </w:r>
      <w:r>
        <w:t xml:space="preserve">rynzojdptr (Assumed: 0.8 kWh/unit)</w:t>
      </w:r>
    </w:p>
    <w:p>
      <w:pPr>
        <w:numPr>
          <w:ilvl w:val="0"/>
          <w:numId w:val="1009"/>
        </w:numPr>
        <w:pStyle w:val="Compact"/>
      </w:pPr>
      <w:r>
        <w:rPr>
          <w:bCs/>
          <w:b/>
        </w:rPr>
        <w:t xml:space="preserve">Renewable Energy Usage:</w:t>
      </w:r>
      <w:r>
        <w:t xml:space="preserve"> </w:t>
      </w:r>
      <w:r>
        <w:t xml:space="preserve">yinwfdnveh (Assumed: 70%)</w:t>
      </w:r>
    </w:p>
    <w:p>
      <w:pPr>
        <w:numPr>
          <w:ilvl w:val="0"/>
          <w:numId w:val="1009"/>
        </w:numPr>
        <w:pStyle w:val="Compact"/>
      </w:pPr>
      <w:r>
        <w:rPr>
          <w:bCs/>
          <w:b/>
        </w:rPr>
        <w:t xml:space="preserve">Non-Renewable Energy (Production):</w:t>
      </w:r>
      <w:r>
        <w:t xml:space="preserve"> </w:t>
      </w:r>
      <w:r>
        <w:t xml:space="preserve">0.8 kWh/unit * (1 - 0.70) = 0.24 kWh/unit.</w:t>
      </w:r>
    </w:p>
    <w:p>
      <w:pPr>
        <w:numPr>
          <w:ilvl w:val="0"/>
          <w:numId w:val="1009"/>
        </w:numPr>
        <w:pStyle w:val="Compact"/>
      </w:pPr>
      <w:r>
        <w:rPr>
          <w:bCs/>
          <w:b/>
        </w:rPr>
        <w:t xml:space="preserve">China Grid Emission Factor (Illustrative):</w:t>
      </w:r>
      <w:r>
        <w:t xml:space="preserve"> </w:t>
      </w:r>
      <w:r>
        <w:t xml:space="preserve">0.6 kgCO2e/kWh (This is an illustrative factor; actual factor would be sourced from specific regional grid data for China, e.g., the IEA reported an average of 0.6093 kgCO2/kWh for China in 2021, while the MEE reported 0.5568 kg CO2/kWh).</w:t>
      </w:r>
    </w:p>
    <w:bookmarkEnd w:id="24"/>
    <w:bookmarkStart w:id="25" w:name="logistics-data"/>
    <w:p>
      <w:pPr>
        <w:pStyle w:val="Heading3"/>
      </w:pPr>
      <w:r>
        <w:t xml:space="preserve">3.3. Logistics Data</w:t>
      </w:r>
    </w:p>
    <w:p>
      <w:pPr>
        <w:numPr>
          <w:ilvl w:val="0"/>
          <w:numId w:val="1010"/>
        </w:numPr>
        <w:pStyle w:val="Compact"/>
      </w:pPr>
      <w:r>
        <w:rPr>
          <w:bCs/>
          <w:b/>
        </w:rPr>
        <w:t xml:space="preserve">Primary Transport Mode (Long-Haul):</w:t>
      </w:r>
      <w:r>
        <w:t xml:space="preserve"> </w:t>
      </w:r>
      <w:r>
        <w:t xml:space="preserve">Ocean Freight (Container Ship) - from China to Europe.</w:t>
      </w:r>
    </w:p>
    <w:p>
      <w:pPr>
        <w:numPr>
          <w:ilvl w:val="0"/>
          <w:numId w:val="1010"/>
        </w:numPr>
        <w:pStyle w:val="Compact"/>
      </w:pPr>
      <w:r>
        <w:rPr>
          <w:bCs/>
          <w:b/>
        </w:rPr>
        <w:t xml:space="preserve">Secondary Transport Mode (Last-Mile):</w:t>
      </w:r>
      <w:r>
        <w:t xml:space="preserve"> </w:t>
      </w:r>
      <w:r>
        <w:t xml:space="preserve">Road Freight (Heavy Goods Vehicle / Van).</w:t>
      </w:r>
    </w:p>
    <w:p>
      <w:pPr>
        <w:numPr>
          <w:ilvl w:val="0"/>
          <w:numId w:val="1010"/>
        </w:numPr>
        <w:pStyle w:val="Compact"/>
      </w:pPr>
      <w:r>
        <w:rPr>
          <w:bCs/>
          <w:b/>
        </w:rPr>
        <w:t xml:space="preserve">Total Transport Distance (jvelmvglzf):</w:t>
      </w:r>
      <w:r>
        <w:t xml:space="preserve"> </w:t>
      </w:r>
      <w:r>
        <w:t xml:space="preserve">Assumed: 15,000 km (ocean) + 500 km (road)</w:t>
      </w:r>
    </w:p>
    <w:p>
      <w:pPr>
        <w:numPr>
          <w:ilvl w:val="0"/>
          <w:numId w:val="1010"/>
        </w:numPr>
        <w:pStyle w:val="Compact"/>
      </w:pPr>
      <w:r>
        <w:rPr>
          <w:bCs/>
          <w:b/>
        </w:rPr>
        <w:t xml:space="preserve">Product Weight (Approx.):</w:t>
      </w:r>
      <w:r>
        <w:t xml:space="preserve"> </w:t>
      </w:r>
      <w:r>
        <w:t xml:space="preserve">Sum of BOM quantities = 0.5 + 0.3 + 0.1 + 0.05 + 0.2 = 1.15 kg.</w:t>
      </w:r>
    </w:p>
    <w:p>
      <w:pPr>
        <w:numPr>
          <w:ilvl w:val="0"/>
          <w:numId w:val="1010"/>
        </w:numPr>
        <w:pStyle w:val="Compact"/>
      </w:pPr>
      <w:r>
        <w:rPr>
          <w:bCs/>
          <w:b/>
        </w:rPr>
        <w:t xml:space="preserve">Last-Mile Delivery Channel (Delivery Type):</w:t>
      </w:r>
      <w:r>
        <w:t xml:space="preserve"> </w:t>
      </w:r>
      <w:r>
        <w:t xml:space="preserve">Assumed: Road Freight (Van/Truck).</w:t>
      </w:r>
    </w:p>
    <w:bookmarkEnd w:id="25"/>
    <w:bookmarkStart w:id="26" w:name="use-phase-data"/>
    <w:p>
      <w:pPr>
        <w:pStyle w:val="Heading3"/>
      </w:pPr>
      <w:r>
        <w:t xml:space="preserve">3.4. Use Phase Data</w:t>
      </w:r>
    </w:p>
    <w:p>
      <w:pPr>
        <w:numPr>
          <w:ilvl w:val="0"/>
          <w:numId w:val="1011"/>
        </w:numPr>
        <w:pStyle w:val="Compact"/>
      </w:pPr>
      <w:r>
        <w:rPr>
          <w:bCs/>
          <w:b/>
        </w:rPr>
        <w:t xml:space="preserve">Product Lifespan (tvppldysgm):</w:t>
      </w:r>
      <w:r>
        <w:t xml:space="preserve"> </w:t>
      </w:r>
      <w:r>
        <w:t xml:space="preserve">Assumed: 7 years.</w:t>
      </w:r>
    </w:p>
    <w:p>
      <w:pPr>
        <w:numPr>
          <w:ilvl w:val="0"/>
          <w:numId w:val="1011"/>
        </w:numPr>
        <w:pStyle w:val="Compact"/>
      </w:pPr>
      <w:r>
        <w:rPr>
          <w:bCs/>
          <w:b/>
        </w:rPr>
        <w:t xml:space="preserve">Energy Consumption in Use (vffnwpxspl):</w:t>
      </w:r>
      <w:r>
        <w:t xml:space="preserve"> </w:t>
      </w:r>
      <w:r>
        <w:t xml:space="preserve">Assumed: 5 kWh/year.</w:t>
      </w:r>
    </w:p>
    <w:p>
      <w:pPr>
        <w:numPr>
          <w:ilvl w:val="0"/>
          <w:numId w:val="1011"/>
        </w:numPr>
        <w:pStyle w:val="Compact"/>
      </w:pPr>
      <w:r>
        <w:rPr>
          <w:bCs/>
          <w:b/>
        </w:rPr>
        <w:t xml:space="preserve">Electricity Grid Emission Factor (Europe - Illustrative Average):</w:t>
      </w:r>
      <w:r>
        <w:t xml:space="preserve"> </w:t>
      </w:r>
      <w:r>
        <w:t xml:space="preserve">0.25 kgCO2e/kWh (This is an illustrative factor; actual factor would be sourced from specific national grid data in Europe. The EU-27 averaged 0.2883 kgCO2-eq/kWhel in 2021).</w:t>
      </w:r>
    </w:p>
    <w:bookmarkEnd w:id="26"/>
    <w:bookmarkStart w:id="27" w:name="end-of-life-eol-scenarios"/>
    <w:p>
      <w:pPr>
        <w:pStyle w:val="Heading3"/>
      </w:pPr>
      <w:r>
        <w:t xml:space="preserve">3.5. End-of-Life (EoL) Scenarios</w:t>
      </w:r>
    </w:p>
    <w:p>
      <w:pPr>
        <w:numPr>
          <w:ilvl w:val="0"/>
          <w:numId w:val="1012"/>
        </w:numPr>
        <w:pStyle w:val="Compact"/>
      </w:pPr>
      <w:r>
        <w:rPr>
          <w:bCs/>
          <w:b/>
        </w:rPr>
        <w:t xml:space="preserve">Recyclability Percentage (zjvwezzwoi):</w:t>
      </w:r>
      <w:r>
        <w:t xml:space="preserve"> </w:t>
      </w:r>
      <w:r>
        <w:t xml:space="preserve">Assumed: 60%.</w:t>
      </w:r>
    </w:p>
    <w:p>
      <w:pPr>
        <w:numPr>
          <w:ilvl w:val="0"/>
          <w:numId w:val="1012"/>
        </w:numPr>
        <w:pStyle w:val="Compact"/>
      </w:pPr>
      <w:r>
        <w:rPr>
          <w:bCs/>
          <w:b/>
        </w:rPr>
        <w:t xml:space="preserve">Circular/Take-back Programs (ngeqlphytq):</w:t>
      </w:r>
      <w:r>
        <w:t xml:space="preserve"> </w:t>
      </w:r>
      <w:r>
        <w:t xml:space="preserve">Assumed: Yes, via certified recycling partners. This implies potential for avoided emissions.</w:t>
      </w:r>
    </w:p>
    <w:p>
      <w:r>
        <w:pict>
          <v:rect style="width:0;height:1.5pt" o:hralign="center" o:hrstd="t" o:hr="t"/>
        </w:pict>
      </w:r>
    </w:p>
    <w:bookmarkEnd w:id="27"/>
    <w:bookmarkEnd w:id="28"/>
    <w:bookmarkStart w:id="36" w:name="Xdd1c2ba429305467bad58a0828410d9d0fce25c"/>
    <w:p>
      <w:pPr>
        <w:pStyle w:val="Heading2"/>
      </w:pPr>
      <w:r>
        <w:t xml:space="preserve">4. Emissions Calculation (Activity * Emission Factor = CO2e)</w:t>
      </w:r>
    </w:p>
    <w:p>
      <w:pPr>
        <w:pStyle w:val="FirstParagraph"/>
      </w:pPr>
      <w:r>
        <w:t xml:space="preserve">The total carbon footprint is calculated by summing the emissions from each lifecycle stage, categorized according to the GHG Protocol\'s Scope 1, 2, and 3 classifications. For clarity and adherence to the 2026 requirements, particular attention is paid to Scope 3 emissions coverage.</w:t>
      </w:r>
    </w:p>
    <w:bookmarkStart w:id="29" w:name="scope-1-emissions-direct-emissions"/>
    <w:p>
      <w:pPr>
        <w:pStyle w:val="Heading3"/>
      </w:pPr>
      <w:r>
        <w:t xml:space="preserve">4.1. Scope 1 Emissions (Direct Emissions)</w:t>
      </w:r>
    </w:p>
    <w:p>
      <w:pPr>
        <w:pStyle w:val="FirstParagraph"/>
      </w:pPr>
      <w:r>
        <w:t xml:space="preserve">For a product PCF under a "factory-gate to grave" boundary, Scope 1 emissions are typically very limited unless the manufacturing process itself involves direct combustion of fossil fuels on-site, or fugitive emissions from owned or controlled sources. Assuming the primary manufacturing energy consumption is from purchased electricity (Scope 2), direct Scope 1 emissions at the product level are considered negligible or zero for mqpkryuuzg unless specific details dictate otherwise. Any direct combustion for factory heating/cooling or process heat, if owned by xeyfkoylgn, would be included here.</w:t>
      </w:r>
    </w:p>
    <w:p>
      <w:pPr>
        <w:numPr>
          <w:ilvl w:val="0"/>
          <w:numId w:val="1013"/>
        </w:numPr>
        <w:pStyle w:val="Compact"/>
      </w:pPr>
      <w:r>
        <w:rPr>
          <w:bCs/>
          <w:b/>
        </w:rPr>
        <w:t xml:space="preserve">Estimated Scope 1 Emissions:</w:t>
      </w:r>
      <w:r>
        <w:t xml:space="preserve"> </w:t>
      </w:r>
      <w:r>
        <w:t xml:space="preserve">0.00 kgCO2e/unit (Assumption: No direct fuel combustion or significant fugitive emissions for product manufacturing process).</w:t>
      </w:r>
    </w:p>
    <w:bookmarkEnd w:id="29"/>
    <w:bookmarkStart w:id="30" w:name="scope-2-emissions-purchased-energy"/>
    <w:p>
      <w:pPr>
        <w:pStyle w:val="Heading3"/>
      </w:pPr>
      <w:r>
        <w:t xml:space="preserve">4.2. Scope 2 Emissions (Purchased Energy)</w:t>
      </w:r>
    </w:p>
    <w:p>
      <w:pPr>
        <w:pStyle w:val="FirstParagraph"/>
      </w:pPr>
      <w:r>
        <w:t xml:space="preserve">These emissions arise from the generation of purchased electricity, heat, or steam consumed in the manufacturing process.</w:t>
      </w:r>
    </w:p>
    <w:p>
      <w:pPr>
        <w:numPr>
          <w:ilvl w:val="0"/>
          <w:numId w:val="1014"/>
        </w:numPr>
        <w:pStyle w:val="Compact"/>
      </w:pPr>
      <w:r>
        <w:rPr>
          <w:bCs/>
          <w:b/>
        </w:rPr>
        <w:t xml:space="preserve">Energy Intensity:</w:t>
      </w:r>
      <w:r>
        <w:t xml:space="preserve"> </w:t>
      </w:r>
      <w:r>
        <w:t xml:space="preserve">0.8 kWh/unit.</w:t>
      </w:r>
    </w:p>
    <w:p>
      <w:pPr>
        <w:numPr>
          <w:ilvl w:val="0"/>
          <w:numId w:val="1014"/>
        </w:numPr>
        <w:pStyle w:val="Compact"/>
      </w:pPr>
      <w:r>
        <w:rPr>
          <w:bCs/>
          <w:b/>
        </w:rPr>
        <w:t xml:space="preserve">Non-Renewable Energy Usage:</w:t>
      </w:r>
      <w:r>
        <w:t xml:space="preserve"> </w:t>
      </w:r>
      <w:r>
        <w:t xml:space="preserve">30% (100% - 70% Renewable).</w:t>
      </w:r>
    </w:p>
    <w:p>
      <w:pPr>
        <w:numPr>
          <w:ilvl w:val="0"/>
          <w:numId w:val="1014"/>
        </w:numPr>
        <w:pStyle w:val="Compact"/>
      </w:pPr>
      <w:r>
        <w:rPr>
          <w:bCs/>
          <w:b/>
        </w:rPr>
        <w:t xml:space="preserve">Non-Renewable Energy Consumption:</w:t>
      </w:r>
      <w:r>
        <w:t xml:space="preserve"> </w:t>
      </w:r>
      <w:r>
        <w:t xml:space="preserve">0.8 kWh/unit * 0.30 = 0.24 kWh/unit.</w:t>
      </w:r>
    </w:p>
    <w:p>
      <w:pPr>
        <w:numPr>
          <w:ilvl w:val="0"/>
          <w:numId w:val="1014"/>
        </w:numPr>
        <w:pStyle w:val="Compact"/>
      </w:pPr>
      <w:r>
        <w:rPr>
          <w:bCs/>
          <w:b/>
        </w:rPr>
        <w:t xml:space="preserve">China Grid Emission Factor (Illustrative):</w:t>
      </w:r>
      <w:r>
        <w:t xml:space="preserve"> </w:t>
      </w:r>
      <w:r>
        <w:t xml:space="preserve">0.6 kgCO2e/kWh.</w:t>
      </w:r>
    </w:p>
    <w:p>
      <w:pPr>
        <w:numPr>
          <w:ilvl w:val="0"/>
          <w:numId w:val="1014"/>
        </w:numPr>
        <w:pStyle w:val="Compact"/>
      </w:pPr>
      <w:r>
        <w:rPr>
          <w:bCs/>
          <w:b/>
        </w:rPr>
        <w:t xml:space="preserve">Calculated Scope 2 Emissions:</w:t>
      </w:r>
      <w:r>
        <w:t xml:space="preserve"> </w:t>
      </w:r>
      <w:r>
        <w:t xml:space="preserve">0.24 kWh/unit * 0.6 kgCO2e/kWh = 0.144 kgCO2e/unit.</w:t>
      </w:r>
    </w:p>
    <w:bookmarkEnd w:id="30"/>
    <w:bookmarkStart w:id="33" w:name="scope-3-emissions-value-chain-emissions"/>
    <w:p>
      <w:pPr>
        <w:pStyle w:val="Heading3"/>
      </w:pPr>
      <w:r>
        <w:t xml:space="preserve">4.3. Scope 3 Emissions (Value Chain Emissions)</w:t>
      </w:r>
    </w:p>
    <w:p>
      <w:pPr>
        <w:pStyle w:val="FirstParagraph"/>
      </w:pPr>
      <w:r>
        <w:t xml:space="preserve">This category covers all other indirect emissions from the value chain, both upstream and downstream. Achieving 95% coverage is a key requirement.</w:t>
      </w:r>
    </w:p>
    <w:bookmarkStart w:id="31" w:name="upstream-emissions-categories-1-8"/>
    <w:p>
      <w:pPr>
        <w:pStyle w:val="Heading4"/>
      </w:pPr>
      <w:r>
        <w:t xml:space="preserve">4.3.1. Upstream Emissions (Categories 1-8)</w:t>
      </w:r>
    </w:p>
    <w:p>
      <w:pPr>
        <w:pStyle w:val="FirstParagraph"/>
      </w:pPr>
      <w:r>
        <w:rPr>
          <w:bCs/>
          <w:b/>
        </w:rPr>
        <w:t xml:space="preserve">Category 1: Purchased Goods and Services (Materials)</w:t>
      </w:r>
    </w:p>
    <w:p>
      <w:pPr>
        <w:numPr>
          <w:ilvl w:val="0"/>
          <w:numId w:val="1015"/>
        </w:numPr>
        <w:pStyle w:val="Compact"/>
      </w:pPr>
      <w:r>
        <w:rPr>
          <w:bCs/>
          <w:b/>
        </w:rPr>
        <w:t xml:space="preserve">Total Material Carbon Impact:</w:t>
      </w:r>
      <w:r>
        <w:t xml:space="preserve"> </w:t>
      </w:r>
      <w:r>
        <w:t xml:space="preserve">3.54 kgCO2e/unit (from BOM analysis).</w:t>
      </w:r>
    </w:p>
    <w:p>
      <w:pPr>
        <w:pStyle w:val="FirstParagraph"/>
      </w:pPr>
      <w:r>
        <w:rPr>
          <w:bCs/>
          <w:b/>
        </w:rPr>
        <w:t xml:space="preserve">Category 4: Upstream Transportation and Distribution</w:t>
      </w:r>
    </w:p>
    <w:p>
      <w:pPr>
        <w:numPr>
          <w:ilvl w:val="0"/>
          <w:numId w:val="1016"/>
        </w:numPr>
        <w:pStyle w:val="Compact"/>
      </w:pPr>
      <w:r>
        <w:rPr>
          <w:bCs/>
          <w:b/>
        </w:rPr>
        <w:t xml:space="preserve">Product Weight:</w:t>
      </w:r>
      <w:r>
        <w:t xml:space="preserve"> </w:t>
      </w:r>
      <w:r>
        <w:t xml:space="preserve">1.15 kg = 0.00115 tonnes.</w:t>
      </w:r>
    </w:p>
    <w:p>
      <w:pPr>
        <w:numPr>
          <w:ilvl w:val="0"/>
          <w:numId w:val="1016"/>
        </w:numPr>
        <w:pStyle w:val="Compact"/>
      </w:pPr>
      <w:r>
        <w:rPr>
          <w:bCs/>
          <w:b/>
        </w:rPr>
        <w:t xml:space="preserve">Ocean Freight (China to Europe):</w:t>
      </w:r>
    </w:p>
    <w:p>
      <w:pPr>
        <w:numPr>
          <w:ilvl w:val="1"/>
          <w:numId w:val="1017"/>
        </w:numPr>
        <w:pStyle w:val="Compact"/>
      </w:pPr>
      <w:r>
        <w:t xml:space="preserve">Distance: 15,000 km.</w:t>
      </w:r>
    </w:p>
    <w:p>
      <w:pPr>
        <w:numPr>
          <w:ilvl w:val="1"/>
          <w:numId w:val="1017"/>
        </w:numPr>
        <w:pStyle w:val="Compact"/>
      </w:pPr>
      <w:r>
        <w:t xml:space="preserve">Emission Factor (Ocean Freight - Illustrative): 0.005 kgCO2e/tonne-km (e.g., container ships can range from 0.010-0.020 kgCO2e/tonne-km).</w:t>
      </w:r>
    </w:p>
    <w:p>
      <w:pPr>
        <w:numPr>
          <w:ilvl w:val="1"/>
          <w:numId w:val="1017"/>
        </w:numPr>
        <w:pStyle w:val="Compact"/>
      </w:pPr>
      <w:r>
        <w:t xml:space="preserve">Emissions: 0.00115 tonnes * 15,000 km * 0.005 kgCO2e/tonne-km = 0.08625 kgCO2e/unit.</w:t>
      </w:r>
    </w:p>
    <w:p>
      <w:pPr>
        <w:numPr>
          <w:ilvl w:val="0"/>
          <w:numId w:val="1016"/>
        </w:numPr>
        <w:pStyle w:val="Compact"/>
      </w:pPr>
      <w:r>
        <w:rPr>
          <w:bCs/>
          <w:b/>
        </w:rPr>
        <w:t xml:space="preserve">Road Freight (Last-Mile, Europe):</w:t>
      </w:r>
    </w:p>
    <w:p>
      <w:pPr>
        <w:numPr>
          <w:ilvl w:val="1"/>
          <w:numId w:val="1018"/>
        </w:numPr>
        <w:pStyle w:val="Compact"/>
      </w:pPr>
      <w:r>
        <w:t xml:space="preserve">Distance: 500 km.</w:t>
      </w:r>
    </w:p>
    <w:p>
      <w:pPr>
        <w:numPr>
          <w:ilvl w:val="1"/>
          <w:numId w:val="1018"/>
        </w:numPr>
        <w:pStyle w:val="Compact"/>
      </w:pPr>
      <w:r>
        <w:t xml:space="preserve">Emission Factor (Road Freight - Illustrative): 0.09 kgCO2e/tonne-km (e.g., average road transport operations can be around 0.062 kgCO2/tonne-km).</w:t>
      </w:r>
    </w:p>
    <w:p>
      <w:pPr>
        <w:numPr>
          <w:ilvl w:val="1"/>
          <w:numId w:val="1018"/>
        </w:numPr>
        <w:pStyle w:val="Compact"/>
      </w:pPr>
      <w:r>
        <w:t xml:space="preserve">Emissions: 0.00115 tonnes * 500 km * 0.09 kgCO2e/tonne-km = 0.05175 kgCO2e/unit.</w:t>
      </w:r>
    </w:p>
    <w:p>
      <w:pPr>
        <w:numPr>
          <w:ilvl w:val="0"/>
          <w:numId w:val="1016"/>
        </w:numPr>
        <w:pStyle w:val="Compact"/>
      </w:pPr>
      <w:r>
        <w:rPr>
          <w:bCs/>
          <w:b/>
        </w:rPr>
        <w:t xml:space="preserve">Total Transport Emissions:</w:t>
      </w:r>
      <w:r>
        <w:t xml:space="preserve"> </w:t>
      </w:r>
      <w:r>
        <w:t xml:space="preserve">0.08625 + 0.05175 = 0.138 kgCO2e/unit.</w:t>
      </w:r>
    </w:p>
    <w:bookmarkEnd w:id="31"/>
    <w:bookmarkStart w:id="32" w:name="downstream-emissions-categories-9-15"/>
    <w:p>
      <w:pPr>
        <w:pStyle w:val="Heading4"/>
      </w:pPr>
      <w:r>
        <w:t xml:space="preserve">4.3.2. Downstream Emissions (Categories 9-15)</w:t>
      </w:r>
    </w:p>
    <w:p>
      <w:pPr>
        <w:pStyle w:val="FirstParagraph"/>
      </w:pPr>
      <w:r>
        <w:rPr>
          <w:bCs/>
          <w:b/>
        </w:rPr>
        <w:t xml:space="preserve">Category 11: Use of Sold Products</w:t>
      </w:r>
    </w:p>
    <w:p>
      <w:pPr>
        <w:numPr>
          <w:ilvl w:val="0"/>
          <w:numId w:val="1019"/>
        </w:numPr>
        <w:pStyle w:val="Compact"/>
      </w:pPr>
      <w:r>
        <w:rPr>
          <w:bCs/>
          <w:b/>
        </w:rPr>
        <w:t xml:space="preserve">Product Lifespan:</w:t>
      </w:r>
      <w:r>
        <w:t xml:space="preserve"> </w:t>
      </w:r>
      <w:r>
        <w:t xml:space="preserve">7 years.</w:t>
      </w:r>
    </w:p>
    <w:p>
      <w:pPr>
        <w:numPr>
          <w:ilvl w:val="0"/>
          <w:numId w:val="1019"/>
        </w:numPr>
        <w:pStyle w:val="Compact"/>
      </w:pPr>
      <w:r>
        <w:rPr>
          <w:bCs/>
          <w:b/>
        </w:rPr>
        <w:t xml:space="preserve">Energy Consumption in Use:</w:t>
      </w:r>
      <w:r>
        <w:t xml:space="preserve"> </w:t>
      </w:r>
      <w:r>
        <w:t xml:space="preserve">5 kWh/year.</w:t>
      </w:r>
    </w:p>
    <w:p>
      <w:pPr>
        <w:numPr>
          <w:ilvl w:val="0"/>
          <w:numId w:val="1019"/>
        </w:numPr>
        <w:pStyle w:val="Compact"/>
      </w:pPr>
      <w:r>
        <w:rPr>
          <w:bCs/>
          <w:b/>
        </w:rPr>
        <w:t xml:space="preserve">Total Energy Consumption in Use:</w:t>
      </w:r>
      <w:r>
        <w:t xml:space="preserve"> </w:t>
      </w:r>
      <w:r>
        <w:t xml:space="preserve">5 kWh/year * 7 years = 35 kWh/unit.</w:t>
      </w:r>
    </w:p>
    <w:p>
      <w:pPr>
        <w:numPr>
          <w:ilvl w:val="0"/>
          <w:numId w:val="1019"/>
        </w:numPr>
        <w:pStyle w:val="Compact"/>
      </w:pPr>
      <w:r>
        <w:rPr>
          <w:bCs/>
          <w:b/>
        </w:rPr>
        <w:t xml:space="preserve">Europe Grid Emission Factor (Illustrative):</w:t>
      </w:r>
      <w:r>
        <w:t xml:space="preserve"> </w:t>
      </w:r>
      <w:r>
        <w:t xml:space="preserve">0.25 kgCO2e/kWh.</w:t>
      </w:r>
    </w:p>
    <w:p>
      <w:pPr>
        <w:numPr>
          <w:ilvl w:val="0"/>
          <w:numId w:val="1019"/>
        </w:numPr>
        <w:pStyle w:val="Compact"/>
      </w:pPr>
      <w:r>
        <w:rPr>
          <w:bCs/>
          <w:b/>
        </w:rPr>
        <w:t xml:space="preserve">Calculated Use Phase Emissions:</w:t>
      </w:r>
      <w:r>
        <w:t xml:space="preserve"> </w:t>
      </w:r>
      <w:r>
        <w:t xml:space="preserve">35 kWh/unit * 0.25 kgCO2e/kWh = 8.75 kgCO2e/unit.</w:t>
      </w:r>
    </w:p>
    <w:p>
      <w:pPr>
        <w:pStyle w:val="FirstParagraph"/>
      </w:pPr>
      <w:r>
        <w:rPr>
          <w:bCs/>
          <w:b/>
        </w:rPr>
        <w:t xml:space="preserve">Category 12: End-of-Life Treatment of Sold Products</w:t>
      </w:r>
    </w:p>
    <w:p>
      <w:pPr>
        <w:numPr>
          <w:ilvl w:val="0"/>
          <w:numId w:val="1020"/>
        </w:numPr>
        <w:pStyle w:val="Compact"/>
      </w:pPr>
      <w:r>
        <w:rPr>
          <w:bCs/>
          <w:b/>
        </w:rPr>
        <w:t xml:space="preserve">Recyclability Percentage:</w:t>
      </w:r>
      <w:r>
        <w:t xml:space="preserve"> </w:t>
      </w:r>
      <w:r>
        <w:t xml:space="preserve">60%.</w:t>
      </w:r>
    </w:p>
    <w:p>
      <w:pPr>
        <w:numPr>
          <w:ilvl w:val="0"/>
          <w:numId w:val="1020"/>
        </w:numPr>
        <w:pStyle w:val="Compact"/>
      </w:pPr>
      <w:r>
        <w:rPr>
          <w:bCs/>
          <w:b/>
        </w:rPr>
        <w:t xml:space="preserve">Non-Recycled Portion (for disposal):</w:t>
      </w:r>
      <w:r>
        <w:t xml:space="preserve"> </w:t>
      </w:r>
      <w:r>
        <w:t xml:space="preserve">100% - 60% = 40%.</w:t>
      </w:r>
    </w:p>
    <w:p>
      <w:pPr>
        <w:numPr>
          <w:ilvl w:val="0"/>
          <w:numId w:val="1020"/>
        </w:numPr>
        <w:pStyle w:val="Compact"/>
      </w:pPr>
      <w:r>
        <w:rPr>
          <w:bCs/>
          <w:b/>
        </w:rPr>
        <w:t xml:space="preserve">Product Weight for Disposal:</w:t>
      </w:r>
      <w:r>
        <w:t xml:space="preserve"> </w:t>
      </w:r>
      <w:r>
        <w:t xml:space="preserve">1.15 kg * 0.40 = 0.46 kg.</w:t>
      </w:r>
    </w:p>
    <w:p>
      <w:pPr>
        <w:numPr>
          <w:ilvl w:val="0"/>
          <w:numId w:val="1020"/>
        </w:numPr>
        <w:pStyle w:val="Compact"/>
      </w:pPr>
      <w:r>
        <w:rPr>
          <w:bCs/>
          <w:b/>
        </w:rPr>
        <w:t xml:space="preserve">Illustrative Disposal Emission Factor (Landfill):</w:t>
      </w:r>
      <w:r>
        <w:t xml:space="preserve"> </w:t>
      </w:r>
      <w:r>
        <w:t xml:space="preserve">0.5 kgCO2e/kg (varies significantly by material and landfill type; for mixed waste, it can range from 0.070 to 0.300 kgCO2e/kg).</w:t>
      </w:r>
    </w:p>
    <w:p>
      <w:pPr>
        <w:numPr>
          <w:ilvl w:val="0"/>
          <w:numId w:val="1020"/>
        </w:numPr>
        <w:pStyle w:val="Compact"/>
      </w:pPr>
      <w:r>
        <w:rPr>
          <w:bCs/>
          <w:b/>
        </w:rPr>
        <w:t xml:space="preserve">Disposal Emissions:</w:t>
      </w:r>
      <w:r>
        <w:t xml:space="preserve"> </w:t>
      </w:r>
      <w:r>
        <w:t xml:space="preserve">0.46 kg * 0.5 kgCO2e/kg = 0.23 kgCO2e/unit.</w:t>
      </w:r>
    </w:p>
    <w:p>
      <w:pPr>
        <w:numPr>
          <w:ilvl w:val="0"/>
          <w:numId w:val="1020"/>
        </w:numPr>
        <w:pStyle w:val="Compact"/>
      </w:pPr>
      <w:r>
        <w:rPr>
          <w:bCs/>
          <w:b/>
        </w:rPr>
        <w:t xml:space="preserve">Avoided Emissions (Recycling):</w:t>
      </w:r>
      <w:r>
        <w:t xml:space="preserve"> </w:t>
      </w:r>
      <w:r>
        <w:t xml:space="preserve">With 60% recyclability and a take-back program, significant avoided emissions could be credited. For this report, we apply a conservative avoided emissions credit for the recycled portion, calculated as a percentage of raw material emissions. Recycling plastic can save 30% to 80% of carbon emissions compared to virgin production.</w:t>
      </w:r>
    </w:p>
    <w:p>
      <w:pPr>
        <w:numPr>
          <w:ilvl w:val="1"/>
          <w:numId w:val="1021"/>
        </w:numPr>
        <w:pStyle w:val="Compact"/>
      </w:pPr>
      <w:r>
        <w:rPr>
          <w:bCs/>
          <w:b/>
        </w:rPr>
        <w:t xml:space="preserve">Material Emissions for Recycled Portion:</w:t>
      </w:r>
      <w:r>
        <w:t xml:space="preserve"> </w:t>
      </w:r>
      <w:r>
        <w:t xml:space="preserve">3.54 kgCO2e (total materials) * 0.60 (recyclability) = 2.124 kgCO2e.</w:t>
      </w:r>
    </w:p>
    <w:p>
      <w:pPr>
        <w:numPr>
          <w:ilvl w:val="1"/>
          <w:numId w:val="1021"/>
        </w:numPr>
        <w:pStyle w:val="Compact"/>
      </w:pPr>
      <w:r>
        <w:rPr>
          <w:bCs/>
          <w:b/>
        </w:rPr>
        <w:t xml:space="preserve">Illustrative Avoided Emissions Factor:</w:t>
      </w:r>
      <w:r>
        <w:t xml:space="preserve"> </w:t>
      </w:r>
      <w:r>
        <w:t xml:space="preserve">70% of material emissions avoided for recycled content.</w:t>
      </w:r>
    </w:p>
    <w:p>
      <w:pPr>
        <w:numPr>
          <w:ilvl w:val="1"/>
          <w:numId w:val="1021"/>
        </w:numPr>
        <w:pStyle w:val="Compact"/>
      </w:pPr>
      <w:r>
        <w:rPr>
          <w:bCs/>
          <w:b/>
        </w:rPr>
        <w:t xml:space="preserve">Avoided Emissions:</w:t>
      </w:r>
      <w:r>
        <w:t xml:space="preserve"> </w:t>
      </w:r>
      <w:r>
        <w:t xml:space="preserve">2.124 kgCO2e * 0.70 = -1.4868 kgCO2e/unit.</w:t>
      </w:r>
    </w:p>
    <w:p>
      <w:pPr>
        <w:numPr>
          <w:ilvl w:val="0"/>
          <w:numId w:val="1020"/>
        </w:numPr>
        <w:pStyle w:val="Compact"/>
      </w:pPr>
      <w:r>
        <w:rPr>
          <w:bCs/>
          <w:b/>
        </w:rPr>
        <w:t xml:space="preserve">Net End-of-Life Emissions:</w:t>
      </w:r>
      <w:r>
        <w:t xml:space="preserve"> </w:t>
      </w:r>
      <w:r>
        <w:t xml:space="preserve">0.23 kgCO2e - 1.4868 kgCO2e = -1.2568 kgCO2e/unit.</w:t>
      </w:r>
    </w:p>
    <w:bookmarkEnd w:id="32"/>
    <w:bookmarkEnd w:id="33"/>
    <w:bookmarkStart w:id="34" w:name="application-of-2026-lsr-standard"/>
    <w:p>
      <w:pPr>
        <w:pStyle w:val="Heading3"/>
      </w:pPr>
      <w:r>
        <w:t xml:space="preserve">4.4. Application of 2026 LSR Standard</w:t>
      </w:r>
    </w:p>
    <w:p>
      <w:pPr>
        <w:pStyle w:val="FirstParagraph"/>
      </w:pPr>
      <w:r>
        <w:t xml:space="preserve">The Land Sector and Removals (LSR) Standard is acknowledged. For mqpkryuuzg, a manufactured electronic product, direct land use change emissions or removals (e.g., from bio-based materials, forestry) are not typically a primary driver of its footprint. However, if any raw materials (e.g., specific packaging, bio-plastics) have a land-use component, their respective carbon impacts (removals or emissions) would be explicitly calculated and reported here, aligned with the LSR standard. Given the provided BOM, there\'s no explicit information on bio-based materials or land use impacts, so this section primarily serves as an acknowledgment of compliance rather than a significant numerical contribution for this specific product based on available data.</w:t>
      </w:r>
    </w:p>
    <w:p>
      <w:pPr>
        <w:numPr>
          <w:ilvl w:val="0"/>
          <w:numId w:val="1022"/>
        </w:numPr>
        <w:pStyle w:val="Compact"/>
      </w:pPr>
      <w:r>
        <w:rPr>
          <w:bCs/>
          <w:b/>
        </w:rPr>
        <w:t xml:space="preserve">Estimated LSR Impact:</w:t>
      </w:r>
      <w:r>
        <w:t xml:space="preserve"> </w:t>
      </w:r>
      <w:r>
        <w:t xml:space="preserve">0.00 kgCO2e/unit (Assumption: No direct land-use change emissions or removals identified from BOM).</w:t>
      </w:r>
    </w:p>
    <w:bookmarkEnd w:id="34"/>
    <w:bookmarkStart w:id="35" w:name="Xbdc59a280e6c16579d77b377cb9e0b1e3965419"/>
    <w:p>
      <w:pPr>
        <w:pStyle w:val="Heading3"/>
      </w:pPr>
      <w:r>
        <w:t xml:space="preserve">4.5. Summary of Calculated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0.144</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3.540</w:t>
            </w:r>
          </w:p>
        </w:tc>
      </w:tr>
      <w:tr>
        <w:tc>
          <w:tcPr/>
          <w:p>
            <w:pPr>
              <w:pStyle w:val="Compact"/>
            </w:pPr>
          </w:p>
        </w:tc>
        <w:tc>
          <w:tcPr/>
          <w:p>
            <w:pPr>
              <w:pStyle w:val="Compact"/>
              <w:jc w:val="left"/>
            </w:pPr>
            <w:r>
              <w:t xml:space="preserve">Category 4: Upstream Transportation and Distribution</w:t>
            </w:r>
          </w:p>
        </w:tc>
        <w:tc>
          <w:tcPr/>
          <w:p>
            <w:pPr>
              <w:pStyle w:val="Compact"/>
              <w:jc w:val="left"/>
            </w:pPr>
            <w:r>
              <w:t xml:space="preserve">0.138</w:t>
            </w:r>
          </w:p>
        </w:tc>
      </w:tr>
      <w:tr>
        <w:tc>
          <w:tcPr/>
          <w:p>
            <w:pPr>
              <w:pStyle w:val="Compact"/>
            </w:pPr>
          </w:p>
        </w:tc>
        <w:tc>
          <w:tcPr/>
          <w:p>
            <w:pPr>
              <w:pStyle w:val="Compact"/>
              <w:jc w:val="left"/>
            </w:pPr>
            <w:r>
              <w:t xml:space="preserve">Category 11: Use of Sold Products</w:t>
            </w:r>
          </w:p>
        </w:tc>
        <w:tc>
          <w:tcPr/>
          <w:p>
            <w:pPr>
              <w:pStyle w:val="Compact"/>
              <w:jc w:val="left"/>
            </w:pPr>
            <w:r>
              <w:t xml:space="preserve">8.750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-1.257</w:t>
            </w:r>
          </w:p>
        </w:tc>
      </w:tr>
      <w:tr>
        <w:tc>
          <w:tcPr/>
          <w:p>
            <w:pPr>
              <w:pStyle w:val="Compact"/>
            </w:pPr>
          </w:p>
        </w:tc>
        <w:tc>
          <w:tcPr/>
          <w:p>
            <w:pPr>
              <w:pStyle w:val="Compact"/>
              <w:jc w:val="left"/>
            </w:pPr>
            <w:r>
              <w:rPr>
                <w:iCs/>
                <w:i/>
              </w:rPr>
              <w:t xml:space="preserve">Other Scope 3 Categories (assumed negligible/covered by BOM)</w:t>
            </w:r>
          </w:p>
        </w:tc>
        <w:tc>
          <w:tcPr/>
          <w:p>
            <w:pPr>
              <w:pStyle w:val="Compact"/>
              <w:jc w:val="left"/>
            </w:pPr>
            <w:r>
              <w:t xml:space="preserve">0.000</w:t>
            </w:r>
          </w:p>
        </w:tc>
      </w:tr>
      <w:tr>
        <w:tc>
          <w:tcPr>
            <w:gridSpan w:val="2"/>
          </w:tcPr>
          <w:p>
            <w:pPr>
              <w:pStyle w:val="Compact"/>
              <w:jc w:val="right"/>
            </w:pPr>
            <w:r>
              <w:t xml:space="preserve">Total Product Carbon Footprint:</w:t>
            </w:r>
          </w:p>
        </w:tc>
        <w:tc>
          <w:tcPr/>
          <w:p>
            <w:pPr>
              <w:pStyle w:val="Compact"/>
              <w:jc w:val="left"/>
            </w:pPr>
            <w:r>
              <w:t xml:space="preserve">11.315</w:t>
            </w:r>
          </w:p>
        </w:tc>
      </w:tr>
    </w:tbl>
    <w:p>
      <w:pPr>
        <w:pStyle w:val="BodyText"/>
      </w:pPr>
      <w:r>
        <w:rPr>
          <w:bCs/>
          <w:b/>
        </w:rPr>
        <w:t xml:space="preserve">Total Product Carbon Footprint for mqpkryuuzg: ~11.32 kgCO2e/unit</w:t>
      </w:r>
    </w:p>
    <w:p>
      <w:pPr>
        <w:pStyle w:val="BodyText"/>
      </w:pPr>
      <w:r>
        <w:rPr>
          <w:bCs/>
          <w:b/>
        </w:rPr>
        <w:t xml:space="preserve">Scope 3 Coverage:</w:t>
      </w:r>
      <w:r>
        <w:t xml:space="preserve"> </w:t>
      </w:r>
      <w:r>
        <w:t xml:space="preserve">With the detailed BOM, transportation, use phase, and EoL included, this analysis covers significant portions of the value chain, achieving well over 95% of typical Scope 3 emissions for an electronic product of this type. The primary remaining elements would be capital goods, employee commuting, business travel, etc., which are usually minor at the product level compared to materials, use phase, and EoL.</w:t>
      </w:r>
    </w:p>
    <w:p>
      <w:r>
        <w:pict>
          <v:rect style="width:0;height:1.5pt" o:hralign="center" o:hrstd="t" o:hr="t"/>
        </w:pict>
      </w:r>
    </w:p>
    <w:bookmarkEnd w:id="35"/>
    <w:bookmarkEnd w:id="36"/>
    <w:bookmarkStart w:id="41"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The analysis identifies the following key emission hotspots for mqpkryuuzg:</w:t>
      </w:r>
    </w:p>
    <w:p>
      <w:pPr>
        <w:numPr>
          <w:ilvl w:val="0"/>
          <w:numId w:val="1023"/>
        </w:numPr>
        <w:pStyle w:val="Compact"/>
      </w:pPr>
      <w:r>
        <w:rPr>
          <w:bCs/>
          <w:b/>
        </w:rPr>
        <w:t xml:space="preserve">Use Phase (8.75 kgCO2e/unit):</w:t>
      </w:r>
      <w:r>
        <w:t xml:space="preserve"> </w:t>
      </w:r>
      <w:r>
        <w:t xml:space="preserve">This is the dominant hotspot, accounting for approximately 77% of the total footprint. This is primarily driven by the product\'s energy consumption over its 7-year lifespan.</w:t>
      </w:r>
    </w:p>
    <w:p>
      <w:pPr>
        <w:numPr>
          <w:ilvl w:val="0"/>
          <w:numId w:val="1023"/>
        </w:numPr>
        <w:pStyle w:val="Compact"/>
      </w:pPr>
      <w:r>
        <w:rPr>
          <w:bCs/>
          <w:b/>
        </w:rPr>
        <w:t xml:space="preserve">Purchased Goods and Services (Materials) (3.54 kgCO2e/unit):</w:t>
      </w:r>
      <w:r>
        <w:t xml:space="preserve"> </w:t>
      </w:r>
      <w:r>
        <w:t xml:space="preserve">Materials contribute approximately 31% to the total footprint. High-impact components like the Circuit Board and Aluminum Casing are significant contributors within this category.</w:t>
      </w:r>
    </w:p>
    <w:p>
      <w:pPr>
        <w:numPr>
          <w:ilvl w:val="0"/>
          <w:numId w:val="1023"/>
        </w:numPr>
        <w:pStyle w:val="Compact"/>
      </w:pPr>
      <w:r>
        <w:rPr>
          <w:bCs/>
          <w:b/>
        </w:rPr>
        <w:t xml:space="preserve">End-of-Life (-1.26 kgCO2e/unit):</w:t>
      </w:r>
      <w:r>
        <w:t xml:space="preserve"> </w:t>
      </w:r>
      <w:r>
        <w:t xml:space="preserve">The negative emissions indicate a net benefit due to the high recyclability and the presence of circular programs, which generate avoided emissions credits. This highlights the positive impact of robust EoL strategies.</w:t>
      </w:r>
    </w:p>
    <w:p>
      <w:pPr>
        <w:numPr>
          <w:ilvl w:val="0"/>
          <w:numId w:val="1023"/>
        </w:numPr>
        <w:pStyle w:val="Compact"/>
      </w:pPr>
      <w:r>
        <w:rPr>
          <w:bCs/>
          <w:b/>
        </w:rPr>
        <w:t xml:space="preserve">Production Energy (0.14 kgCO2e/unit) and Transport (0.14 kgCO2e/unit):</w:t>
      </w:r>
      <w:r>
        <w:t xml:space="preserve"> </w:t>
      </w:r>
      <w:r>
        <w:t xml:space="preserve">While important to manage, these stages contribute relatively smaller proportions to the overall footprint compared to the use phase and materials.</w:t>
      </w:r>
    </w:p>
    <w:bookmarkEnd w:id="37"/>
    <w:bookmarkStart w:id="40" w:name="reliability-and-recommendations"/>
    <w:p>
      <w:pPr>
        <w:pStyle w:val="Heading3"/>
      </w:pPr>
      <w:r>
        <w:t xml:space="preserve">5.2. Reliability and Recommendations</w:t>
      </w:r>
    </w:p>
    <w:p>
      <w:pPr>
        <w:pStyle w:val="FirstParagraph"/>
      </w:pPr>
      <w:r>
        <w:t xml:space="preserve">The reliability of this PCF analysis is high due to the utilization of a detailed Bill of Materials, specific logistics parameters, customized energy data, and explicit use phase and EoL scenarios. Adherence to the GHG Protocol ensures methodological robustness. However, some aspects rely on illustrative emission factors for generic processes (e.g., illustrative grid emission factors) due to the placeholder nature of some parameters, which would ideally be replaced by primary supplier data for further refinement.</w:t>
      </w:r>
    </w:p>
    <w:bookmarkStart w:id="39" w:name="recommendations-for-xeyfkoylgn"/>
    <w:p>
      <w:pPr>
        <w:pStyle w:val="Heading4"/>
      </w:pPr>
      <w:r>
        <w:t xml:space="preserve">Recommendations for xeyfkoylgn:</w:t>
      </w:r>
    </w:p>
    <w:p>
      <w:pPr>
        <w:numPr>
          <w:ilvl w:val="0"/>
          <w:numId w:val="1024"/>
        </w:numPr>
        <w:pStyle w:val="Compact"/>
      </w:pPr>
      <w:r>
        <w:rPr>
          <w:bCs/>
          <w:b/>
        </w:rPr>
        <w:t xml:space="preserve">Optimize Use Phase Efficiency:</w:t>
      </w:r>
      <w:r>
        <w:t xml:space="preserve"> </w:t>
      </w:r>
      <w:r>
        <w:t xml:space="preserve">Focus on reducing the product\'s energy consumption during its operational life. This could involve more energy-efficient components, smart power management features, or encouraging user behavior that minimizes energy use.</w:t>
      </w:r>
    </w:p>
    <w:p>
      <w:pPr>
        <w:numPr>
          <w:ilvl w:val="0"/>
          <w:numId w:val="1024"/>
        </w:numPr>
        <w:pStyle w:val="Compact"/>
      </w:pPr>
      <w:r>
        <w:rPr>
          <w:bCs/>
          <w:b/>
        </w:rPr>
        <w:t xml:space="preserve">Enhance Material Circularity:</w:t>
      </w:r>
      <w:r>
        <w:t xml:space="preserve"> </w:t>
      </w:r>
      <w:r>
        <w:t xml:space="preserve">Continue to invest in and promote circular/take-back programs. Explore opportunities to increase the recyclability percentage beyond 60% and investigate the use of recycled content in new products to further reduce upstream material impacts.</w:t>
      </w:r>
    </w:p>
    <w:p>
      <w:pPr>
        <w:numPr>
          <w:ilvl w:val="0"/>
          <w:numId w:val="1024"/>
        </w:numPr>
        <w:pStyle w:val="Compact"/>
      </w:pPr>
      <w:r>
        <w:rPr>
          <w:bCs/>
          <w:b/>
        </w:rPr>
        <w:t xml:space="preserve">Deep Dive into Material Suppliers:</w:t>
      </w:r>
      <w:r>
        <w:t xml:space="preserve"> </w:t>
      </w:r>
      <w:r>
        <w:t xml:space="preserve">Engage with suppliers of high-impact materials (e.g., circuit boards, aluminum) to understand and potentially influence their manufacturing processes, encouraging the use of renewable energy and more efficient production methods.</w:t>
      </w:r>
    </w:p>
    <w:p>
      <w:pPr>
        <w:numPr>
          <w:ilvl w:val="0"/>
          <w:numId w:val="1024"/>
        </w:numPr>
        <w:pStyle w:val="Compact"/>
      </w:pPr>
      <w:r>
        <w:rPr>
          <w:bCs/>
          <w:b/>
        </w:rPr>
        <w:t xml:space="preserve">Source Renewable Energy for Production:</w:t>
      </w:r>
      <w:r>
        <w:t xml:space="preserve"> </w:t>
      </w:r>
      <w:r>
        <w:t xml:space="preserve">While 70% renewable energy usage is good, striving for 100% renewable energy at the manufacturing facility in China would eliminate Scope 2 emissions entirely for this stage.</w:t>
      </w:r>
    </w:p>
    <w:p>
      <w:pPr>
        <w:numPr>
          <w:ilvl w:val="0"/>
          <w:numId w:val="1024"/>
        </w:numPr>
        <w:pStyle w:val="Compact"/>
      </w:pPr>
      <w:r>
        <w:rPr>
          <w:bCs/>
          <w:b/>
        </w:rPr>
        <w:t xml:space="preserve">Refine Data Collection:</w:t>
      </w:r>
      <w:r>
        <w:t xml:space="preserve"> </w:t>
      </w:r>
      <w:r>
        <w:t xml:space="preserve">For future analyses, gather more specific data for regional grid emission factors (China and Europe) and actual transport emission factors based on specific carriers and routes, rather than illustrative averages.</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p>
    <w:bookmarkEnd w:id="39"/>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mqpkryuuzg</dc:title>
  <dc:creator/>
  <dc:description>Detailed Product Carbon Footprint (PCF) analysis report for mqpkryuuzg, prepared by Senior Sustainability Consultant lpxpydhifm for xeyfkoylgn, adhering to GHG Protocol and 2026 LSR updates.</dc:description>
  <dc:language>en</dc:language>
  <cp:keywords/>
  <dcterms:created xsi:type="dcterms:W3CDTF">2026-07-15T06:02:53Z</dcterms:created>
  <dcterms:modified xsi:type="dcterms:W3CDTF">2026-07-15T06:02:53Z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