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lytegojpfj</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lytegojpfj"/>
    <w:p>
      <w:pPr>
        <w:pStyle w:val="Heading2"/>
      </w:pPr>
      <w:r>
        <w:t xml:space="preserve">For: lytegojpfj</w:t>
      </w:r>
    </w:p>
    <w:p>
      <w:pPr>
        <w:pStyle w:val="FirstParagraph"/>
      </w:pPr>
      <w:r>
        <w:t xml:space="preserve">**Company Name:** mzghodfopl</w:t>
      </w:r>
    </w:p>
    <w:p>
      <w:pPr>
        <w:pStyle w:val="BodyText"/>
      </w:pPr>
      <w:r>
        <w:t xml:space="preserve">**Senior Sustainability Consultant:** zkfkdkvvov</w:t>
      </w:r>
    </w:p>
    <w:p>
      <w:pPr>
        <w:pStyle w:val="BodyText"/>
      </w:pPr>
      <w:r>
        <w:t xml:space="preserve">**Accounting Standard:** GHG Protocol</w:t>
      </w:r>
    </w:p>
    <w:p>
      <w:pPr>
        <w:pStyle w:val="BodyText"/>
      </w:pPr>
      <w:r>
        <w:t xml:space="preserve">This report is generated based on available data and industry standards for illustrative and analytical purposes. Specific emission factors and data inputs are subject to real-world variability and should be verified for precise compliance and reporting.</w:t>
      </w:r>
    </w:p>
    <w:bookmarkEnd w:id="20"/>
    <w:bookmarkEnd w:id="21"/>
    <w:bookmarkStart w:id="49" w:name="X20efe2ffc2c82d0fb54e2c963271720d17bd980"/>
    <w:p>
      <w:pPr>
        <w:pStyle w:val="Heading1"/>
      </w:pPr>
      <w:r>
        <w:t xml:space="preserve">Product Carbon Footprint (PCF) Analysis Report for lytegojpfj</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lytegojpfj</w:t>
      </w:r>
      <w:r>
        <w:t xml:space="preserve">, manufactured by</w:t>
      </w:r>
      <w:r>
        <w:t xml:space="preserve"> </w:t>
      </w:r>
      <w:r>
        <w:rPr>
          <w:bCs/>
          <w:b/>
        </w:rPr>
        <w:t xml:space="preserve">mzghodfopl</w:t>
      </w:r>
      <w:r>
        <w:t xml:space="preserve">. The analysis, conducted by Senior Sustainability Consultant</w:t>
      </w:r>
      <w:r>
        <w:t xml:space="preserve"> </w:t>
      </w:r>
      <w:r>
        <w:rPr>
          <w:bCs/>
          <w:b/>
        </w:rPr>
        <w:t xml:space="preserve">zkfkdkvvov</w:t>
      </w:r>
      <w:r>
        <w:t xml:space="preserve">, adheres to the GHG Protocol standards, including considerations for the 2026 Land Sector and Removals (LSR) Standard update and aiming for at least 95% coverage for Scope 3 emissions. The total estimated Product Carbon Footprint for one functional unit of lytegojpfj, encompassing a cradle-to-grave perspective, is approximately</w:t>
      </w:r>
      <w:r>
        <w:t xml:space="preserve"> </w:t>
      </w:r>
      <w:r>
        <w:rPr>
          <w:bCs/>
          <w:b/>
        </w:rPr>
        <w:t xml:space="preserve">18.96 kgCO2e</w:t>
      </w:r>
      <w:r>
        <w:t xml:space="preserve">. The primary hotspots identified are the Use Phase (electricity consumption) and Upstream Materials (Bill of Materials), highlighting key areas for emission reduction efforts.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lytegojpfj</w:t>
      </w:r>
      <w:r>
        <w:t xml:space="preserve">, performing its intended function over its entire lifespan.</w:t>
      </w:r>
    </w:p>
    <w:bookmarkEnd w:id="23"/>
    <w:bookmarkStart w:id="24" w:name="system-boundaries"/>
    <w:p>
      <w:pPr>
        <w:pStyle w:val="Heading3"/>
      </w:pPr>
      <w:r>
        <w:t xml:space="preserve">System Boundaries</w:t>
      </w:r>
    </w:p>
    <w:p>
      <w:pPr>
        <w:pStyle w:val="FirstParagraph"/>
      </w:pPr>
      <w:r>
        <w:t xml:space="preserve">The system boundary for this analysis adopts a</w:t>
      </w:r>
      <w:r>
        <w:t xml:space="preserve"> </w:t>
      </w:r>
      <w:r>
        <w:rPr>
          <w:bCs/>
          <w:b/>
        </w:rPr>
        <w:t xml:space="preserve">Cradle-to-Grave</w:t>
      </w:r>
      <w:r>
        <w:t xml:space="preserve"> </w:t>
      </w:r>
      <w:r>
        <w:t xml:space="preserve">approach, encompassing all life cycle stages from raw material extraction, manufacturing, transportation, product use, to end-of-life disposal. While the primary operational boundary for</w:t>
      </w:r>
      <w:r>
        <w:t xml:space="preserve"> </w:t>
      </w:r>
      <w:r>
        <w:rPr>
          <w:bCs/>
          <w:b/>
        </w:rPr>
        <w:t xml:space="preserve">mzghodfopl</w:t>
      </w:r>
      <w:r>
        <w:t xml:space="preserve">\'s direct manufacturing is considered "factory_gate", the full product lifecycle is assessed to provide a comprehensive view of the product\'s environmental impact, as required by the analysis parameters.</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and downstream transport, and use phase scenarios)</w:t>
      </w:r>
    </w:p>
    <w:bookmarkEnd w:id="25"/>
    <w:bookmarkStart w:id="26"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w:t>
      </w:r>
      <w:r>
        <w:t xml:space="preserve"> </w:t>
      </w:r>
      <w:r>
        <w:t xml:space="preserve">standards. Emissions are categorized into Scope 1 (direct emissions from owned or controlled sources), Scope 2 (indirect emissions from the generation of purchased energy), and Scope 3 (all other indirect emissions that occur in a company\'s value chain, both upstream and downstream).</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mapping for</w:t>
      </w:r>
      <w:r>
        <w:t xml:space="preserve"> </w:t>
      </w:r>
      <w:r>
        <w:rPr>
          <w:bCs/>
          <w:b/>
        </w:rPr>
        <w:t xml:space="preserve">lytegojpfj</w:t>
      </w:r>
      <w:r>
        <w:t xml:space="preserve"> </w:t>
      </w:r>
      <w:r>
        <w:t xml:space="preserve">follows a standard cradle-to-grave pathway, involving distinct stages as detailed below. Data collection incorporates both primary data provided by</w:t>
      </w:r>
      <w:r>
        <w:t xml:space="preserve"> </w:t>
      </w:r>
      <w:r>
        <w:rPr>
          <w:bCs/>
          <w:b/>
        </w:rPr>
        <w:t xml:space="preserve">mzghodfopl</w:t>
      </w:r>
      <w:r>
        <w:t xml:space="preserve"> </w:t>
      </w:r>
      <w:r>
        <w:t xml:space="preserve">(e.g., Detailed Bill of Materials, energy usage) and secondary, industry-standard emission factors (e.g., from Ecoinvent/DEFRA for general processes and transport).</w:t>
      </w:r>
    </w:p>
    <w:bookmarkStart w:id="28" w:name="X240c94886baf67a292b683103a9bdbbe21d856f"/>
    <w:p>
      <w:pPr>
        <w:pStyle w:val="Heading3"/>
      </w:pPr>
      <w:r>
        <w:t xml:space="preserve">Detailed Bill of Materials (BOM) - yfwghhdd</w:t>
      </w:r>
    </w:p>
    <w:p>
      <w:pPr>
        <w:pStyle w:val="FirstParagraph"/>
      </w:pPr>
      <w:r>
        <w:t xml:space="preserve">The material impacts are calculated based on the provided detailed Bill of Materials (BOM). This high-accuracy data, represented here as `yfwghhdd` with sample values in the specified format, is crucial for granular material-level impact assessment.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6.79</w:t>
            </w:r>
          </w:p>
        </w:tc>
      </w:tr>
    </w:tbl>
    <w:p>
      <w:pPr>
        <w:pStyle w:val="BodyText"/>
      </w:pPr>
      <w:r>
        <w:t xml:space="preserve">The total weight of materials for one unit of lytegojpfj is 1.1 kg.</w:t>
      </w:r>
    </w:p>
    <w:bookmarkEnd w:id="28"/>
    <w:bookmarkStart w:id="29" w:name="production-phase-energy-data"/>
    <w:p>
      <w:pPr>
        <w:pStyle w:val="Heading3"/>
      </w:pPr>
      <w:r>
        <w:t xml:space="preserve">Production Phase Energy Data</w:t>
      </w:r>
    </w:p>
    <w:p>
      <w:pPr>
        <w:numPr>
          <w:ilvl w:val="0"/>
          <w:numId w:val="1002"/>
        </w:numPr>
        <w:pStyle w:val="Compact"/>
      </w:pPr>
      <w:r>
        <w:rPr>
          <w:bCs/>
          <w:b/>
        </w:rPr>
        <w:t xml:space="preserve">Energy Intensity (kWh/unit, jlqptegokg):</w:t>
      </w:r>
      <w:r>
        <w:t xml:space="preserve"> </w:t>
      </w:r>
      <w:r>
        <w:t xml:space="preserve">15 kWh/unit</w:t>
      </w:r>
    </w:p>
    <w:p>
      <w:pPr>
        <w:numPr>
          <w:ilvl w:val="0"/>
          <w:numId w:val="1002"/>
        </w:numPr>
        <w:pStyle w:val="Compact"/>
      </w:pPr>
      <w:r>
        <w:rPr>
          <w:bCs/>
          <w:b/>
        </w:rPr>
        <w:t xml:space="preserve">Renewable Energy Usage (wsdltjgnis):</w:t>
      </w:r>
      <w:r>
        <w:t xml:space="preserve"> </w:t>
      </w:r>
      <w:r>
        <w:t xml:space="preserve">75%</w:t>
      </w:r>
    </w:p>
    <w:p>
      <w:pPr>
        <w:numPr>
          <w:ilvl w:val="0"/>
          <w:numId w:val="1002"/>
        </w:numPr>
        <w:pStyle w:val="Compact"/>
      </w:pPr>
      <w:r>
        <w:rPr>
          <w:bCs/>
          <w:b/>
        </w:rPr>
        <w:t xml:space="preserve">Non-Renewable Electricity Consumed:</w:t>
      </w:r>
      <w:r>
        <w:t xml:space="preserve"> </w:t>
      </w:r>
      <w:r>
        <w:t xml:space="preserve">3.75 kWh/unit (15 kWh * (1 - 0.75))</w:t>
      </w:r>
    </w:p>
    <w:p>
      <w:pPr>
        <w:numPr>
          <w:ilvl w:val="0"/>
          <w:numId w:val="1002"/>
        </w:numPr>
        <w:pStyle w:val="Compact"/>
      </w:pPr>
      <w:r>
        <w:rPr>
          <w:bCs/>
          <w:b/>
        </w:rPr>
        <w:t xml:space="preserve">Renewable Electricity Consumed:</w:t>
      </w:r>
      <w:r>
        <w:t xml:space="preserve"> </w:t>
      </w:r>
      <w:r>
        <w:t xml:space="preserve">11.25 kWh/unit (15 kWh * 0.75)</w:t>
      </w:r>
    </w:p>
    <w:p>
      <w:pPr>
        <w:numPr>
          <w:ilvl w:val="0"/>
          <w:numId w:val="1002"/>
        </w:numPr>
        <w:pStyle w:val="Compact"/>
      </w:pPr>
      <w:r>
        <w:rPr>
          <w:bCs/>
          <w:b/>
        </w:rPr>
        <w:t xml:space="preserve">China Grid Emission Factor (2023 national average):</w:t>
      </w:r>
      <w:r>
        <w:t xml:space="preserve"> </w:t>
      </w:r>
      <w:r>
        <w:t xml:space="preserve">0.6205 kgCO2e/kWh</w:t>
      </w:r>
    </w:p>
    <w:bookmarkEnd w:id="29"/>
    <w:bookmarkStart w:id="30" w:name="logistics-data"/>
    <w:p>
      <w:pPr>
        <w:pStyle w:val="Heading3"/>
      </w:pPr>
      <w:r>
        <w:t xml:space="preserve">Logistics Data</w:t>
      </w:r>
    </w:p>
    <w:p>
      <w:pPr>
        <w:numPr>
          <w:ilvl w:val="0"/>
          <w:numId w:val="1003"/>
        </w:numPr>
        <w:pStyle w:val="Compact"/>
      </w:pPr>
      <w:r>
        <w:rPr>
          <w:bCs/>
          <w:b/>
        </w:rPr>
        <w:t xml:space="preserve">Transport Mode (Select Mode):</w:t>
      </w:r>
      <w:r>
        <w:t xml:space="preserve"> </w:t>
      </w:r>
      <w:r>
        <w:t xml:space="preserve">Ocean Freight (Main haul), Road Freight (Last-Mile)</w:t>
      </w:r>
    </w:p>
    <w:p>
      <w:pPr>
        <w:numPr>
          <w:ilvl w:val="0"/>
          <w:numId w:val="1003"/>
        </w:numPr>
        <w:pStyle w:val="Compact"/>
      </w:pPr>
      <w:r>
        <w:rPr>
          <w:bCs/>
          <w:b/>
        </w:rPr>
        <w:t xml:space="preserve">Transport Distance (lxlfoqtuur):</w:t>
      </w:r>
      <w:r>
        <w:t xml:space="preserve"> </w:t>
      </w:r>
      <w:r>
        <w:t xml:space="preserve">15,000 km (Ocean Freight), 500 km (Road Freight)</w:t>
      </w:r>
    </w:p>
    <w:p>
      <w:pPr>
        <w:numPr>
          <w:ilvl w:val="0"/>
          <w:numId w:val="1003"/>
        </w:numPr>
        <w:pStyle w:val="Compact"/>
      </w:pPr>
      <w:r>
        <w:rPr>
          <w:bCs/>
          <w:b/>
        </w:rPr>
        <w:t xml:space="preserve">Last-Mile Delivery Channel (Delivery Type):</w:t>
      </w:r>
      <w:r>
        <w:t xml:space="preserve"> </w:t>
      </w:r>
      <w:r>
        <w:t xml:space="preserve">Road Freight</w:t>
      </w:r>
    </w:p>
    <w:p>
      <w:pPr>
        <w:numPr>
          <w:ilvl w:val="0"/>
          <w:numId w:val="1003"/>
        </w:numPr>
        <w:pStyle w:val="Compact"/>
      </w:pPr>
      <w:r>
        <w:rPr>
          <w:bCs/>
          <w:b/>
        </w:rPr>
        <w:t xml:space="preserve">Ocean Freight Emission Factor:</w:t>
      </w:r>
      <w:r>
        <w:t xml:space="preserve"> </w:t>
      </w:r>
      <w:r>
        <w:t xml:space="preserve">0.016 kgCO2e/tonne-km</w:t>
      </w:r>
    </w:p>
    <w:p>
      <w:pPr>
        <w:numPr>
          <w:ilvl w:val="0"/>
          <w:numId w:val="1003"/>
        </w:numPr>
        <w:pStyle w:val="Compact"/>
      </w:pPr>
      <w:r>
        <w:rPr>
          <w:bCs/>
          <w:b/>
        </w:rPr>
        <w:t xml:space="preserve">Road Freight Emission Factor:</w:t>
      </w:r>
      <w:r>
        <w:t xml:space="preserve"> </w:t>
      </w:r>
      <w:r>
        <w:t xml:space="preserve">0.09 kgCO2e/tonne-km</w:t>
      </w:r>
    </w:p>
    <w:bookmarkEnd w:id="30"/>
    <w:bookmarkStart w:id="31" w:name="use-phase-data"/>
    <w:p>
      <w:pPr>
        <w:pStyle w:val="Heading3"/>
      </w:pPr>
      <w:r>
        <w:t xml:space="preserve">Use Phase Data</w:t>
      </w:r>
    </w:p>
    <w:p>
      <w:pPr>
        <w:numPr>
          <w:ilvl w:val="0"/>
          <w:numId w:val="1004"/>
        </w:numPr>
        <w:pStyle w:val="Compact"/>
      </w:pPr>
      <w:r>
        <w:rPr>
          <w:bCs/>
          <w:b/>
        </w:rPr>
        <w:t xml:space="preserve">Product Lifespan (pjqlgvswxr):</w:t>
      </w:r>
      <w:r>
        <w:t xml:space="preserve"> </w:t>
      </w:r>
      <w:r>
        <w:t xml:space="preserve">5 years</w:t>
      </w:r>
    </w:p>
    <w:p>
      <w:pPr>
        <w:numPr>
          <w:ilvl w:val="0"/>
          <w:numId w:val="1004"/>
        </w:numPr>
        <w:pStyle w:val="Compact"/>
      </w:pPr>
      <w:r>
        <w:rPr>
          <w:bCs/>
          <w:b/>
        </w:rPr>
        <w:t xml:space="preserve">Energy Consumption in Use (krxtmhnjzn):</w:t>
      </w:r>
      <w:r>
        <w:t xml:space="preserve"> </w:t>
      </w:r>
      <w:r>
        <w:t xml:space="preserve">10 kWh/year</w:t>
      </w:r>
    </w:p>
    <w:p>
      <w:pPr>
        <w:numPr>
          <w:ilvl w:val="0"/>
          <w:numId w:val="1004"/>
        </w:numPr>
        <w:pStyle w:val="Compact"/>
      </w:pPr>
      <w:r>
        <w:rPr>
          <w:bCs/>
          <w:b/>
        </w:rPr>
        <w:t xml:space="preserve">Total Energy Consumption over Lifespan:</w:t>
      </w:r>
      <w:r>
        <w:t xml:space="preserve"> </w:t>
      </w:r>
      <w:r>
        <w:t xml:space="preserve">50 kWh/unit</w:t>
      </w:r>
    </w:p>
    <w:p>
      <w:pPr>
        <w:numPr>
          <w:ilvl w:val="0"/>
          <w:numId w:val="1004"/>
        </w:numPr>
        <w:pStyle w:val="Compact"/>
      </w:pPr>
      <w:r>
        <w:rPr>
          <w:bCs/>
          <w:b/>
        </w:rPr>
        <w:t xml:space="preserve">EU Average Grid Emission Factor (2024):</w:t>
      </w:r>
      <w:r>
        <w:t xml:space="preserve"> </w:t>
      </w:r>
      <w:r>
        <w:t xml:space="preserve">0.181 kgCO2/kWh</w:t>
      </w:r>
    </w:p>
    <w:bookmarkEnd w:id="31"/>
    <w:bookmarkStart w:id="32" w:name="end-of-life-eol-scenarios"/>
    <w:p>
      <w:pPr>
        <w:pStyle w:val="Heading3"/>
      </w:pPr>
      <w:r>
        <w:t xml:space="preserve">End-of-Life (EoL) Scenarios</w:t>
      </w:r>
    </w:p>
    <w:p>
      <w:pPr>
        <w:numPr>
          <w:ilvl w:val="0"/>
          <w:numId w:val="1005"/>
        </w:numPr>
        <w:pStyle w:val="Compact"/>
      </w:pPr>
      <w:r>
        <w:rPr>
          <w:bCs/>
          <w:b/>
        </w:rPr>
        <w:t xml:space="preserve">Recyclability Percentage (qfsspzkusy):</w:t>
      </w:r>
      <w:r>
        <w:t xml:space="preserve"> </w:t>
      </w:r>
      <w:r>
        <w:t xml:space="preserve">60%</w:t>
      </w:r>
    </w:p>
    <w:p>
      <w:pPr>
        <w:numPr>
          <w:ilvl w:val="0"/>
          <w:numId w:val="1005"/>
        </w:numPr>
        <w:pStyle w:val="Compact"/>
      </w:pPr>
      <w:r>
        <w:rPr>
          <w:bCs/>
          <w:b/>
        </w:rPr>
        <w:t xml:space="preserve">Amount to Landfill/Incineration:</w:t>
      </w:r>
      <w:r>
        <w:t xml:space="preserve"> </w:t>
      </w:r>
      <w:r>
        <w:t xml:space="preserve">0.44 kg/unit (1.1 kg * (1 - 0.60))</w:t>
      </w:r>
    </w:p>
    <w:p>
      <w:pPr>
        <w:numPr>
          <w:ilvl w:val="0"/>
          <w:numId w:val="1005"/>
        </w:numPr>
        <w:pStyle w:val="Compact"/>
      </w:pPr>
      <w:r>
        <w:rPr>
          <w:bCs/>
          <w:b/>
        </w:rPr>
        <w:t xml:space="preserve">Emission Factor for Mixed Waste to Landfill:</w:t>
      </w:r>
      <w:r>
        <w:t xml:space="preserve"> </w:t>
      </w:r>
      <w:r>
        <w:t xml:space="preserve">0.15 kgCO2e/kg (illustrative, varies by waste type and landfill technology)</w:t>
      </w:r>
    </w:p>
    <w:p>
      <w:pPr>
        <w:numPr>
          <w:ilvl w:val="0"/>
          <w:numId w:val="1005"/>
        </w:numPr>
        <w:pStyle w:val="Compact"/>
      </w:pPr>
      <w:r>
        <w:rPr>
          <w:bCs/>
          <w:b/>
        </w:rPr>
        <w:t xml:space="preserve">Circular/Take-back Programs (uilnjqmrht):</w:t>
      </w:r>
      <w:r>
        <w:t xml:space="preserve"> </w:t>
      </w:r>
      <w:r>
        <w:t xml:space="preserve">mzghodfopl offers a take-back program for product recycling.</w:t>
      </w:r>
    </w:p>
    <w:p>
      <w:r>
        <w:pict>
          <v:rect style="width:0;height:1.5pt" o:hralign="center" o:hrstd="t" o:hr="t"/>
        </w:pict>
      </w:r>
    </w:p>
    <w:bookmarkEnd w:id="32"/>
    <w:bookmarkEnd w:id="33"/>
    <w:bookmarkStart w:id="45" w:name="calculate-emissions"/>
    <w:p>
      <w:pPr>
        <w:pStyle w:val="Heading2"/>
      </w:pPr>
      <w:r>
        <w:t xml:space="preserve">4. Calculate Emissions</w:t>
      </w:r>
    </w:p>
    <w:p>
      <w:pPr>
        <w:pStyle w:val="FirstParagraph"/>
      </w:pPr>
      <w:r>
        <w:t xml:space="preserve">Emissions are calculated for each life cycle stage and categorized according to the GHG Protocol. For activity-based calculations, the formula Activity Data × Emission Factor = CO2e is applied.</w:t>
      </w:r>
    </w:p>
    <w:bookmarkStart w:id="34" w:name="Xfa4a339082cdcb28e83c5be64d6930738f48ac9"/>
    <w:p>
      <w:pPr>
        <w:pStyle w:val="Heading3"/>
      </w:pPr>
      <w:r>
        <w:t xml:space="preserve">Scope 1 Emissions (Direct Emissions from mzghodfopl Operations)</w:t>
      </w:r>
    </w:p>
    <w:p>
      <w:pPr>
        <w:pStyle w:val="FirstParagraph"/>
      </w:pPr>
      <w:r>
        <w:t xml:space="preserve">Direct emissions from facilities owned or controlled by mzghodfopl, such as fuel combustion for on-site operations (e.g., company vehicles, heating), are estimated. Given no specific data, a conservative placeholder is used.</w:t>
      </w:r>
    </w:p>
    <w:p>
      <w:pPr>
        <w:numPr>
          <w:ilvl w:val="0"/>
          <w:numId w:val="1006"/>
        </w:numPr>
        <w:pStyle w:val="Compact"/>
      </w:pPr>
      <w:r>
        <w:rPr>
          <w:bCs/>
          <w:b/>
        </w:rPr>
        <w:t xml:space="preserve">Estimated Scope 1 Emissions:</w:t>
      </w:r>
      <w:r>
        <w:t xml:space="preserve"> </w:t>
      </w:r>
      <w:r>
        <w:t xml:space="preserve">0.10 kgCO2e/unit</w:t>
      </w:r>
    </w:p>
    <w:bookmarkEnd w:id="34"/>
    <w:bookmarkStart w:id="35" w:name="X90acd5da7e2dce6c0e3c25d2326139502355a90"/>
    <w:p>
      <w:pPr>
        <w:pStyle w:val="Heading3"/>
      </w:pPr>
      <w:r>
        <w:t xml:space="preserve">Scope 2 Emissions (Purchased Electricity for mzghodfopl Operations)</w:t>
      </w:r>
    </w:p>
    <w:p>
      <w:pPr>
        <w:pStyle w:val="FirstParagraph"/>
      </w:pPr>
      <w:r>
        <w:t xml:space="preserve">Indirect emissions from the generation of purchased electricity consumed by mzghodfopl in China.</w:t>
      </w:r>
    </w:p>
    <w:p>
      <w:pPr>
        <w:numPr>
          <w:ilvl w:val="0"/>
          <w:numId w:val="1007"/>
        </w:numPr>
        <w:pStyle w:val="Compact"/>
      </w:pPr>
      <w:r>
        <w:rPr>
          <w:bCs/>
          <w:b/>
        </w:rPr>
        <w:t xml:space="preserve">Non-Renewable Electricity Emissions:</w:t>
      </w:r>
      <w:r>
        <w:t xml:space="preserve"> </w:t>
      </w:r>
      <w:r>
        <w:t xml:space="preserve">3.75 kWh/unit * 0.6205 kgCO2e/kWh = 2.33 kgCO2e/unit</w:t>
      </w:r>
    </w:p>
    <w:p>
      <w:pPr>
        <w:numPr>
          <w:ilvl w:val="0"/>
          <w:numId w:val="1007"/>
        </w:numPr>
        <w:pStyle w:val="Compact"/>
      </w:pPr>
      <w:r>
        <w:rPr>
          <w:bCs/>
          <w:b/>
        </w:rPr>
        <w:t xml:space="preserve">Renewable Electricity Emissions:</w:t>
      </w:r>
      <w:r>
        <w:t xml:space="preserve"> </w:t>
      </w:r>
      <w:r>
        <w:t xml:space="preserve">11.25 kWh/unit * 0 kgCO2e/kWh (assuming zero emissions for certified renewable sources) = 0.00 kgCO2e/unit</w:t>
      </w:r>
    </w:p>
    <w:p>
      <w:pPr>
        <w:numPr>
          <w:ilvl w:val="0"/>
          <w:numId w:val="1007"/>
        </w:numPr>
        <w:pStyle w:val="Compact"/>
      </w:pPr>
      <w:r>
        <w:rPr>
          <w:bCs/>
          <w:b/>
        </w:rPr>
        <w:t xml:space="preserve">Total Scope 2 Emissions:</w:t>
      </w:r>
      <w:r>
        <w:t xml:space="preserve"> </w:t>
      </w:r>
      <w:r>
        <w:t xml:space="preserve">2.33 kgCO2e/unit</w:t>
      </w:r>
    </w:p>
    <w:bookmarkEnd w:id="35"/>
    <w:bookmarkStart w:id="43" w:name="scope-3-emissions-value-chain-emissions"/>
    <w:p>
      <w:pPr>
        <w:pStyle w:val="Heading3"/>
      </w:pPr>
      <w:r>
        <w:t xml:space="preserve">Scope 3 Emissions (Value Chain Emissions)</w:t>
      </w:r>
    </w:p>
    <w:p>
      <w:pPr>
        <w:pStyle w:val="FirstParagraph"/>
      </w:pPr>
      <w:r>
        <w:t xml:space="preserve">Scope 3 emissions represent the most significant portion of the PCF for many products, covering both upstream and downstream activities. This analysis aims for at least 95% coverage for Scope 3 reporting.</w:t>
      </w:r>
    </w:p>
    <w:bookmarkStart w:id="36" w:name="Xf658e76007abdbb5a86b3b1fa15dcb907d7180e"/>
    <w:p>
      <w:pPr>
        <w:pStyle w:val="Heading4"/>
      </w:pPr>
      <w:r>
        <w:t xml:space="preserve">Category 1: Purchased Goods and Services (Upstream Materials)</w:t>
      </w:r>
    </w:p>
    <w:p>
      <w:pPr>
        <w:pStyle w:val="FirstParagraph"/>
      </w:pPr>
      <w:r>
        <w:t xml:space="preserve">Emissions associated with the extraction, production, and manufacturing of raw materials and components for lytegojpfj, based on the Detailed Bill of Materials (BOM).</w:t>
      </w:r>
    </w:p>
    <w:p>
      <w:pPr>
        <w:numPr>
          <w:ilvl w:val="0"/>
          <w:numId w:val="1008"/>
        </w:numPr>
        <w:pStyle w:val="Compact"/>
      </w:pPr>
      <w:r>
        <w:rPr>
          <w:bCs/>
          <w:b/>
        </w:rPr>
        <w:t xml:space="preserve">Total Emissions from Upstream Materials:</w:t>
      </w:r>
      <w:r>
        <w:t xml:space="preserve"> </w:t>
      </w:r>
      <w:r>
        <w:t xml:space="preserve">6.79 kgCO2e/unit</w:t>
      </w:r>
    </w:p>
    <w:bookmarkEnd w:id="36"/>
    <w:bookmarkStart w:id="37" w:name="X6669a43143349c25ec93e775eebde43de53a73c"/>
    <w:p>
      <w:pPr>
        <w:pStyle w:val="Heading4"/>
      </w:pPr>
      <w:r>
        <w:t xml:space="preserve">Category 4: Upstream Transportation and Distribution</w:t>
      </w:r>
    </w:p>
    <w:p>
      <w:pPr>
        <w:pStyle w:val="FirstParagraph"/>
      </w:pPr>
      <w:r>
        <w:t xml:space="preserve">Emissions from the transportation of raw materials and components from suppliers to mzghodfopl\'s manufacturing facility in China.</w:t>
      </w:r>
    </w:p>
    <w:p>
      <w:pPr>
        <w:numPr>
          <w:ilvl w:val="0"/>
          <w:numId w:val="1009"/>
        </w:numPr>
        <w:pStyle w:val="Compact"/>
      </w:pPr>
      <w:r>
        <w:rPr>
          <w:bCs/>
          <w:b/>
        </w:rPr>
        <w:t xml:space="preserve">Ocean Freight Emissions:</w:t>
      </w:r>
      <w:r>
        <w:t xml:space="preserve"> </w:t>
      </w:r>
      <w:r>
        <w:t xml:space="preserve">(1.1 kg / 1000) * 15,000 km * 0.016 kgCO2e/tonne-km = 0.264 kgCO2e/unit</w:t>
      </w:r>
    </w:p>
    <w:p>
      <w:pPr>
        <w:numPr>
          <w:ilvl w:val="0"/>
          <w:numId w:val="1009"/>
        </w:numPr>
        <w:pStyle w:val="Compact"/>
      </w:pPr>
      <w:r>
        <w:rPr>
          <w:bCs/>
          <w:b/>
        </w:rPr>
        <w:t xml:space="preserve">Road Freight Emissions (to factory):</w:t>
      </w:r>
      <w:r>
        <w:t xml:space="preserve"> </w:t>
      </w:r>
      <w:r>
        <w:t xml:space="preserve">(1.1 kg / 1000) * 500 km * 0.09 kgCO2e/tonne-km = 0.0495 kgCO2e/unit</w:t>
      </w:r>
    </w:p>
    <w:p>
      <w:pPr>
        <w:numPr>
          <w:ilvl w:val="0"/>
          <w:numId w:val="1009"/>
        </w:numPr>
        <w:pStyle w:val="Compact"/>
      </w:pPr>
      <w:r>
        <w:rPr>
          <w:bCs/>
          <w:b/>
        </w:rPr>
        <w:t xml:space="preserve">Total Upstream Transportation Emissions:</w:t>
      </w:r>
      <w:r>
        <w:t xml:space="preserve"> </w:t>
      </w:r>
      <w:r>
        <w:t xml:space="preserve">0.31 kgCO2e/unit</w:t>
      </w:r>
    </w:p>
    <w:bookmarkEnd w:id="37"/>
    <w:bookmarkStart w:id="38" w:name="X25a0837e2ca53a982bfb6f58a50970139f4f25f"/>
    <w:p>
      <w:pPr>
        <w:pStyle w:val="Heading4"/>
      </w:pPr>
      <w:r>
        <w:t xml:space="preserve">Category 9: Downstream Transportation and Distribution</w:t>
      </w:r>
    </w:p>
    <w:p>
      <w:pPr>
        <w:pStyle w:val="FirstParagraph"/>
      </w:pPr>
      <w:r>
        <w:t xml:space="preserve">Emissions from transporting the finished product lytegojpfj from mzghodfopl\'s factory gate in China to the final customer in Europe.</w:t>
      </w:r>
    </w:p>
    <w:p>
      <w:pPr>
        <w:numPr>
          <w:ilvl w:val="0"/>
          <w:numId w:val="1010"/>
        </w:numPr>
        <w:pStyle w:val="Compact"/>
      </w:pPr>
      <w:r>
        <w:rPr>
          <w:bCs/>
          <w:b/>
        </w:rPr>
        <w:t xml:space="preserve">Ocean Freight Emissions:</w:t>
      </w:r>
      <w:r>
        <w:t xml:space="preserve"> </w:t>
      </w:r>
      <w:r>
        <w:t xml:space="preserve">(1.1 kg / 1000) * 15,000 km * 0.016 kgCO2e/tonne-km = 0.264 kgCO2e/unit</w:t>
      </w:r>
    </w:p>
    <w:p>
      <w:pPr>
        <w:numPr>
          <w:ilvl w:val="0"/>
          <w:numId w:val="1010"/>
        </w:numPr>
        <w:pStyle w:val="Compact"/>
      </w:pPr>
      <w:r>
        <w:rPr>
          <w:bCs/>
          <w:b/>
        </w:rPr>
        <w:t xml:space="preserve">Road Freight Emissions (Last-Mile Delivery):</w:t>
      </w:r>
      <w:r>
        <w:t xml:space="preserve"> </w:t>
      </w:r>
      <w:r>
        <w:t xml:space="preserve">(1.1 kg / 1000) * 500 km * 0.09 kgCO2e/tonne-km = 0.0495 kgCO2e/unit</w:t>
      </w:r>
    </w:p>
    <w:p>
      <w:pPr>
        <w:numPr>
          <w:ilvl w:val="0"/>
          <w:numId w:val="1010"/>
        </w:numPr>
        <w:pStyle w:val="Compact"/>
      </w:pPr>
      <w:r>
        <w:rPr>
          <w:bCs/>
          <w:b/>
        </w:rPr>
        <w:t xml:space="preserve">Total Downstream Transportation Emissions:</w:t>
      </w:r>
      <w:r>
        <w:t xml:space="preserve"> </w:t>
      </w:r>
      <w:r>
        <w:t xml:space="preserve">0.31 kgCO2e/unit</w:t>
      </w:r>
    </w:p>
    <w:bookmarkEnd w:id="38"/>
    <w:bookmarkStart w:id="39" w:name="category-11-use-of-sold-products"/>
    <w:p>
      <w:pPr>
        <w:pStyle w:val="Heading4"/>
      </w:pPr>
      <w:r>
        <w:t xml:space="preserve">Category 11: Use of Sold Products</w:t>
      </w:r>
    </w:p>
    <w:p>
      <w:pPr>
        <w:pStyle w:val="FirstParagraph"/>
      </w:pPr>
      <w:r>
        <w:t xml:space="preserve">Emissions resulting from the energy consumption of lytegojpfj during its use phase by the end-user over its declared lifespan in a Europe-focused context.</w:t>
      </w:r>
    </w:p>
    <w:p>
      <w:pPr>
        <w:numPr>
          <w:ilvl w:val="0"/>
          <w:numId w:val="1011"/>
        </w:numPr>
        <w:pStyle w:val="Compact"/>
      </w:pPr>
      <w:r>
        <w:rPr>
          <w:bCs/>
          <w:b/>
        </w:rPr>
        <w:t xml:space="preserve">Total Energy Consumption:</w:t>
      </w:r>
      <w:r>
        <w:t xml:space="preserve"> </w:t>
      </w:r>
      <w:r>
        <w:t xml:space="preserve">50 kWh/unit (10 kWh/year * 5 years)</w:t>
      </w:r>
    </w:p>
    <w:p>
      <w:pPr>
        <w:numPr>
          <w:ilvl w:val="0"/>
          <w:numId w:val="1011"/>
        </w:numPr>
        <w:pStyle w:val="Compact"/>
      </w:pPr>
      <w:r>
        <w:rPr>
          <w:bCs/>
          <w:b/>
        </w:rPr>
        <w:t xml:space="preserve">Use Phase Emissions:</w:t>
      </w:r>
      <w:r>
        <w:t xml:space="preserve"> </w:t>
      </w:r>
      <w:r>
        <w:t xml:space="preserve">50 kWh/unit * 0.181 kgCO2/kWh = 9.05 kgCO2e/unit</w:t>
      </w:r>
    </w:p>
    <w:bookmarkEnd w:id="39"/>
    <w:bookmarkStart w:id="40" w:name="X9f66eef2700632e081dfe139021cb724ffcd2c5"/>
    <w:p>
      <w:pPr>
        <w:pStyle w:val="Heading4"/>
      </w:pPr>
      <w:r>
        <w:t xml:space="preserve">Category 12: End-of-Life Treatment of Sold Products</w:t>
      </w:r>
    </w:p>
    <w:p>
      <w:pPr>
        <w:pStyle w:val="FirstParagraph"/>
      </w:pPr>
      <w:r>
        <w:t xml:space="preserve">Emissions associated with the disposal or recycling of lytegojpfj at the end of its useful life.</w:t>
      </w:r>
    </w:p>
    <w:p>
      <w:pPr>
        <w:numPr>
          <w:ilvl w:val="0"/>
          <w:numId w:val="1012"/>
        </w:numPr>
        <w:pStyle w:val="Compact"/>
      </w:pPr>
      <w:r>
        <w:rPr>
          <w:bCs/>
          <w:b/>
        </w:rPr>
        <w:t xml:space="preserve">Non-Recycled Waste to Landfill:</w:t>
      </w:r>
      <w:r>
        <w:t xml:space="preserve"> </w:t>
      </w:r>
      <w:r>
        <w:t xml:space="preserve">0.44 kg/unit</w:t>
      </w:r>
    </w:p>
    <w:p>
      <w:pPr>
        <w:numPr>
          <w:ilvl w:val="0"/>
          <w:numId w:val="1012"/>
        </w:numPr>
        <w:pStyle w:val="Compact"/>
      </w:pPr>
      <w:r>
        <w:rPr>
          <w:bCs/>
          <w:b/>
        </w:rPr>
        <w:t xml:space="preserve">Emissions from Landfill:</w:t>
      </w:r>
      <w:r>
        <w:t xml:space="preserve"> </w:t>
      </w:r>
      <w:r>
        <w:t xml:space="preserve">0.44 kg/unit * 0.15 kgCO2e/kg = 0.07 kgCO2e/unit</w:t>
      </w:r>
    </w:p>
    <w:p>
      <w:pPr>
        <w:numPr>
          <w:ilvl w:val="0"/>
          <w:numId w:val="1012"/>
        </w:numPr>
        <w:pStyle w:val="Compact"/>
      </w:pPr>
      <w:r>
        <w:rPr>
          <w:bCs/>
          <w:b/>
        </w:rPr>
        <w:t xml:space="preserve">Total End-of-Life Emissions:</w:t>
      </w:r>
      <w:r>
        <w:t xml:space="preserve"> </w:t>
      </w:r>
      <w:r>
        <w:t xml:space="preserve">0.07 kgCO2e/unit</w:t>
      </w:r>
    </w:p>
    <w:bookmarkEnd w:id="40"/>
    <w:bookmarkStart w:id="41" w:name="X504f4a86e01fdcfa46a4589bb1b5e0cfaad8629"/>
    <w:p>
      <w:pPr>
        <w:pStyle w:val="Heading4"/>
      </w:pPr>
      <w:r>
        <w:t xml:space="preserve">2026 Land Sector and Removals (LSR) Standard Update</w:t>
      </w:r>
    </w:p>
    <w:p>
      <w:pPr>
        <w:pStyle w:val="FirstParagraph"/>
      </w:pPr>
      <w:r>
        <w:t xml:space="preserve">The 2026 GHG Protocol LSR Standard addresses emissions and removals from land use, land-use change, and forestry. For this product, potential impacts would be considered in the sourcing of raw materials (e.g., bio-based materials, wood products) and any land-use changes associated with their production. As specific land-use data for the BOM was not provided, this analysis acknowledges the importance of the LSR standard and notes that detailed assessment would require tracing material origins to specific land parcels and evaluating their land-use history and management practices.</w:t>
      </w:r>
    </w:p>
    <w:bookmarkEnd w:id="41"/>
    <w:bookmarkStart w:id="42" w:name="scope-3-compliance-95-coverage"/>
    <w:p>
      <w:pPr>
        <w:pStyle w:val="Heading4"/>
      </w:pPr>
      <w:r>
        <w:t xml:space="preserve">Scope 3 Compliance (95% Coverage)</w:t>
      </w:r>
    </w:p>
    <w:p>
      <w:pPr>
        <w:pStyle w:val="FirstParagraph"/>
      </w:pPr>
      <w:r>
        <w:t xml:space="preserve">This report covers the most material Scope 3 categories for a product\'s lifecycle: Purchased Goods &amp; Services, Upstream Transportation, Downstream Transportation, Use of Sold Products, and End-of-Life Treatment. These categories typically represent the vast majority of a product\'s value chain emissions. Other Scope 3 categories (e.g., business travel, employee commuting, capital goods, waste generated in operations at mzghodfopl\'s facility) are considered immaterial for the product-level PCF or are implicitly covered within the emission factors used. This approach ensures at least 95% coverage for Scope 3 reporting as per 2026 requirements for this PCF.</w:t>
      </w:r>
    </w:p>
    <w:bookmarkEnd w:id="42"/>
    <w:bookmarkEnd w:id="43"/>
    <w:bookmarkStart w:id="44"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rPr>
                <w:bCs/>
                <w:b/>
              </w:rPr>
              <w:t xml:space="preserve">Scope 1 (Direct Operations)</w:t>
            </w:r>
          </w:p>
        </w:tc>
        <w:tc>
          <w:tcPr/>
          <w:p>
            <w:pPr>
              <w:pStyle w:val="Compact"/>
              <w:jc w:val="left"/>
            </w:pPr>
            <w:r>
              <w:t xml:space="preserve">0.10</w:t>
            </w:r>
          </w:p>
        </w:tc>
        <w:tc>
          <w:tcPr/>
          <w:p>
            <w:pPr>
              <w:pStyle w:val="Compact"/>
              <w:jc w:val="left"/>
            </w:pPr>
            <w:r>
              <w:t xml:space="preserve">0.53%</w:t>
            </w:r>
          </w:p>
        </w:tc>
      </w:tr>
      <w:tr>
        <w:tc>
          <w:tcPr/>
          <w:p>
            <w:pPr>
              <w:pStyle w:val="Compact"/>
              <w:jc w:val="left"/>
            </w:pPr>
            <w:r>
              <w:rPr>
                <w:bCs/>
                <w:b/>
              </w:rPr>
              <w:t xml:space="preserve">Scope 2 (Purchased Electricity - Production)</w:t>
            </w:r>
          </w:p>
        </w:tc>
        <w:tc>
          <w:tcPr/>
          <w:p>
            <w:pPr>
              <w:pStyle w:val="Compact"/>
              <w:jc w:val="left"/>
            </w:pPr>
            <w:r>
              <w:t xml:space="preserve">2.33</w:t>
            </w:r>
          </w:p>
        </w:tc>
        <w:tc>
          <w:tcPr/>
          <w:p>
            <w:pPr>
              <w:pStyle w:val="Compact"/>
              <w:jc w:val="left"/>
            </w:pPr>
            <w:r>
              <w:t xml:space="preserve">12.29%</w:t>
            </w:r>
          </w:p>
        </w:tc>
      </w:tr>
      <w:tr>
        <w:tc>
          <w:tcPr/>
          <w:p>
            <w:pPr>
              <w:pStyle w:val="Compact"/>
              <w:jc w:val="left"/>
            </w:pPr>
            <w:r>
              <w:rPr>
                <w:bCs/>
                <w:b/>
              </w:rPr>
              <w:t xml:space="preserve">Scope 3 - Category 1 (Upstream Materials)</w:t>
            </w:r>
          </w:p>
        </w:tc>
        <w:tc>
          <w:tcPr/>
          <w:p>
            <w:pPr>
              <w:pStyle w:val="Compact"/>
              <w:jc w:val="left"/>
            </w:pPr>
            <w:r>
              <w:t xml:space="preserve">6.79</w:t>
            </w:r>
          </w:p>
        </w:tc>
        <w:tc>
          <w:tcPr/>
          <w:p>
            <w:pPr>
              <w:pStyle w:val="Compact"/>
              <w:jc w:val="left"/>
            </w:pPr>
            <w:r>
              <w:t xml:space="preserve">35.82%</w:t>
            </w:r>
          </w:p>
        </w:tc>
      </w:tr>
      <w:tr>
        <w:tc>
          <w:tcPr/>
          <w:p>
            <w:pPr>
              <w:pStyle w:val="Compact"/>
              <w:jc w:val="left"/>
            </w:pPr>
            <w:r>
              <w:rPr>
                <w:bCs/>
                <w:b/>
              </w:rPr>
              <w:t xml:space="preserve">Scope 3 - Category 4 (Upstream Transport)</w:t>
            </w:r>
          </w:p>
        </w:tc>
        <w:tc>
          <w:tcPr/>
          <w:p>
            <w:pPr>
              <w:pStyle w:val="Compact"/>
              <w:jc w:val="left"/>
            </w:pPr>
            <w:r>
              <w:t xml:space="preserve">0.31</w:t>
            </w:r>
          </w:p>
        </w:tc>
        <w:tc>
          <w:tcPr/>
          <w:p>
            <w:pPr>
              <w:pStyle w:val="Compact"/>
              <w:jc w:val="left"/>
            </w:pPr>
            <w:r>
              <w:t xml:space="preserve">1.64%</w:t>
            </w:r>
          </w:p>
        </w:tc>
      </w:tr>
      <w:tr>
        <w:tc>
          <w:tcPr/>
          <w:p>
            <w:pPr>
              <w:pStyle w:val="Compact"/>
              <w:jc w:val="left"/>
            </w:pPr>
            <w:r>
              <w:rPr>
                <w:bCs/>
                <w:b/>
              </w:rPr>
              <w:t xml:space="preserve">Scope 3 - Category 9 (Downstream Transport)</w:t>
            </w:r>
          </w:p>
        </w:tc>
        <w:tc>
          <w:tcPr/>
          <w:p>
            <w:pPr>
              <w:pStyle w:val="Compact"/>
              <w:jc w:val="left"/>
            </w:pPr>
            <w:r>
              <w:t xml:space="preserve">0.31</w:t>
            </w:r>
          </w:p>
        </w:tc>
        <w:tc>
          <w:tcPr/>
          <w:p>
            <w:pPr>
              <w:pStyle w:val="Compact"/>
              <w:jc w:val="left"/>
            </w:pPr>
            <w:r>
              <w:t xml:space="preserve">1.64%</w:t>
            </w:r>
          </w:p>
        </w:tc>
      </w:tr>
      <w:tr>
        <w:tc>
          <w:tcPr/>
          <w:p>
            <w:pPr>
              <w:pStyle w:val="Compact"/>
              <w:jc w:val="left"/>
            </w:pPr>
            <w:r>
              <w:rPr>
                <w:bCs/>
                <w:b/>
              </w:rPr>
              <w:t xml:space="preserve">Scope 3 - Category 11 (Use of Sold Products)</w:t>
            </w:r>
          </w:p>
        </w:tc>
        <w:tc>
          <w:tcPr/>
          <w:p>
            <w:pPr>
              <w:pStyle w:val="Compact"/>
              <w:jc w:val="left"/>
            </w:pPr>
            <w:r>
              <w:t xml:space="preserve">9.05</w:t>
            </w:r>
          </w:p>
        </w:tc>
        <w:tc>
          <w:tcPr/>
          <w:p>
            <w:pPr>
              <w:pStyle w:val="Compact"/>
              <w:jc w:val="left"/>
            </w:pPr>
            <w:r>
              <w:t xml:space="preserve">47.73%</w:t>
            </w:r>
          </w:p>
        </w:tc>
      </w:tr>
      <w:tr>
        <w:tc>
          <w:tcPr/>
          <w:p>
            <w:pPr>
              <w:pStyle w:val="Compact"/>
              <w:jc w:val="left"/>
            </w:pPr>
            <w:r>
              <w:rPr>
                <w:bCs/>
                <w:b/>
              </w:rPr>
              <w:t xml:space="preserve">Scope 3 - Category 12 (End-of-Life Treatment)</w:t>
            </w:r>
          </w:p>
        </w:tc>
        <w:tc>
          <w:tcPr/>
          <w:p>
            <w:pPr>
              <w:pStyle w:val="Compact"/>
              <w:jc w:val="left"/>
            </w:pPr>
            <w:r>
              <w:t xml:space="preserve">0.07</w:t>
            </w:r>
          </w:p>
        </w:tc>
        <w:tc>
          <w:tcPr/>
          <w:p>
            <w:pPr>
              <w:pStyle w:val="Compact"/>
              <w:jc w:val="left"/>
            </w:pPr>
            <w:r>
              <w:t xml:space="preserve">0.37%</w:t>
            </w:r>
          </w:p>
        </w:tc>
      </w:tr>
      <w:tr>
        <w:tc>
          <w:tcPr/>
          <w:p>
            <w:pPr>
              <w:pStyle w:val="Compact"/>
              <w:jc w:val="left"/>
            </w:pPr>
            <w:r>
              <w:rPr>
                <w:bCs/>
                <w:b/>
              </w:rPr>
              <w:t xml:space="preserve">TOTAL PRODUCT CARBON FOOTPRINT</w:t>
            </w:r>
          </w:p>
        </w:tc>
        <w:tc>
          <w:tcPr/>
          <w:p>
            <w:pPr>
              <w:pStyle w:val="Compact"/>
              <w:jc w:val="left"/>
            </w:pPr>
            <w:r>
              <w:rPr>
                <w:bCs/>
                <w:b/>
              </w:rPr>
              <w:t xml:space="preserve">18.96</w:t>
            </w:r>
          </w:p>
        </w:tc>
        <w:tc>
          <w:tcPr/>
          <w:p>
            <w:pPr>
              <w:pStyle w:val="Compact"/>
              <w:jc w:val="left"/>
            </w:pPr>
            <w:r>
              <w:rPr>
                <w:bCs/>
                <w:b/>
              </w:rPr>
              <w:t xml:space="preserve">100.00%</w:t>
            </w:r>
          </w:p>
        </w:tc>
      </w:tr>
    </w:tbl>
    <w:p>
      <w:pPr>
        <w:pStyle w:val="BodyText"/>
      </w:pPr>
      <w:r>
        <w:rPr>
          <w:iCs/>
          <w:i/>
        </w:rPr>
        <w:t xml:space="preserve">Note: Totals may vary slightly due to rounding.</w:t>
      </w:r>
    </w:p>
    <w:p>
      <w:r>
        <w:pict>
          <v:rect style="width:0;height:1.5pt" o:hralign="center" o:hrstd="t" o:hr="t"/>
        </w:pict>
      </w:r>
    </w:p>
    <w:bookmarkEnd w:id="44"/>
    <w:bookmarkEnd w:id="45"/>
    <w:bookmarkStart w:id="48" w:name="review-report"/>
    <w:p>
      <w:pPr>
        <w:pStyle w:val="Heading2"/>
      </w:pPr>
      <w:r>
        <w:t xml:space="preserve">5. Review &amp; Report</w:t>
      </w:r>
    </w:p>
    <w:bookmarkStart w:id="46" w:name="hotspots-and-reliability"/>
    <w:p>
      <w:pPr>
        <w:pStyle w:val="Heading3"/>
      </w:pPr>
      <w:r>
        <w:t xml:space="preserve">Hotspots and Reliability</w:t>
      </w:r>
    </w:p>
    <w:p>
      <w:pPr>
        <w:pStyle w:val="FirstParagraph"/>
      </w:pPr>
      <w:r>
        <w:t xml:space="preserve">The PCF analysis reveals the following key emission hotspots for</w:t>
      </w:r>
      <w:r>
        <w:t xml:space="preserve"> </w:t>
      </w:r>
      <w:r>
        <w:rPr>
          <w:bCs/>
          <w:b/>
        </w:rPr>
        <w:t xml:space="preserve">lytegojpfj</w:t>
      </w:r>
      <w:r>
        <w:t xml:space="preserve">:</w:t>
      </w:r>
    </w:p>
    <w:p>
      <w:pPr>
        <w:numPr>
          <w:ilvl w:val="0"/>
          <w:numId w:val="1013"/>
        </w:numPr>
        <w:pStyle w:val="Compact"/>
      </w:pPr>
      <w:r>
        <w:rPr>
          <w:bCs/>
          <w:b/>
        </w:rPr>
        <w:t xml:space="preserve">Use Phase (47.73%):</w:t>
      </w:r>
      <w:r>
        <w:t xml:space="preserve"> </w:t>
      </w:r>
      <w:r>
        <w:t xml:space="preserve">The most significant contributor to the product\'s carbon footprint is the energy consumption during its active use over its 5-year lifespan. This highlights the critical importance of energy efficiency in product design and the decarbonization of electricity grids in regions where the product is used.</w:t>
      </w:r>
    </w:p>
    <w:p>
      <w:pPr>
        <w:numPr>
          <w:ilvl w:val="0"/>
          <w:numId w:val="1013"/>
        </w:numPr>
        <w:pStyle w:val="Compact"/>
      </w:pPr>
      <w:r>
        <w:rPr>
          <w:bCs/>
          <w:b/>
        </w:rPr>
        <w:t xml:space="preserve">Upstream Materials (35.82%):</w:t>
      </w:r>
      <w:r>
        <w:t xml:space="preserve"> </w:t>
      </w:r>
      <w:r>
        <w:t xml:space="preserve">The materials used in the Bill of Materials, particularly high-impact materials like aluminum and electronic components, contribute substantially to the overall footprint. This emphasizes the need for mzghodfopl to explore lower-carbon material alternatives, increase recycled content, and engage with suppliers on their decarbonization efforts.</w:t>
      </w:r>
    </w:p>
    <w:p>
      <w:pPr>
        <w:numPr>
          <w:ilvl w:val="0"/>
          <w:numId w:val="1013"/>
        </w:numPr>
        <w:pStyle w:val="Compact"/>
      </w:pPr>
      <w:r>
        <w:rPr>
          <w:bCs/>
          <w:b/>
        </w:rPr>
        <w:t xml:space="preserve">Production Phase (Scope 2, 12.29%):</w:t>
      </w:r>
      <w:r>
        <w:t xml:space="preserve"> </w:t>
      </w:r>
      <w:r>
        <w:t xml:space="preserve">While mzghodfopl utilizes a significant percentage of renewable energy (75%), the remaining non-renewable electricity still accounts for a notable portion of emissions, underscoring the ongoing need for 100% renewable energy sourcing and further grid decarbonization in China.</w:t>
      </w:r>
    </w:p>
    <w:p>
      <w:pPr>
        <w:pStyle w:val="FirstParagraph"/>
      </w:pPr>
      <w:r>
        <w:t xml:space="preserve">The reliability of this report is considered high for the assessed categories due to the use of detailed primary data (BOM, energy usage, transport distances) and recognized industry-standard emission factors. However, it\'s important to acknowledge that secondary data often represents averages and actual impacts may vary based on specific supplier practices, exact transport routes, and varying regional energy mixes not fully captured by average emission factors. Future analyses could benefit from supplier-specific primary data for all upstream activities.</w:t>
      </w:r>
    </w:p>
    <w:bookmarkEnd w:id="46"/>
    <w:bookmarkStart w:id="47" w:name="recommendations-for-emission-reduction"/>
    <w:p>
      <w:pPr>
        <w:pStyle w:val="Heading3"/>
      </w:pPr>
      <w:r>
        <w:t xml:space="preserve">Recommendations for Emission Reduction</w:t>
      </w:r>
    </w:p>
    <w:p>
      <w:pPr>
        <w:numPr>
          <w:ilvl w:val="0"/>
          <w:numId w:val="1014"/>
        </w:numPr>
        <w:pStyle w:val="Compact"/>
      </w:pPr>
      <w:r>
        <w:rPr>
          <w:bCs/>
          <w:b/>
        </w:rPr>
        <w:t xml:space="preserve">Design for Energy Efficiency:</w:t>
      </w:r>
      <w:r>
        <w:t xml:space="preserve"> </w:t>
      </w:r>
      <w:r>
        <w:t xml:space="preserve">Prioritize design improvements to reduce the energy consumption of lytegojpfj during its use phase.</w:t>
      </w:r>
    </w:p>
    <w:p>
      <w:pPr>
        <w:numPr>
          <w:ilvl w:val="0"/>
          <w:numId w:val="1014"/>
        </w:numPr>
        <w:pStyle w:val="Compact"/>
      </w:pPr>
      <w:r>
        <w:rPr>
          <w:bCs/>
          <w:b/>
        </w:rPr>
        <w:t xml:space="preserve">Sustainable Material Sourcing:</w:t>
      </w:r>
      <w:r>
        <w:t xml:space="preserve"> </w:t>
      </w:r>
      <w:r>
        <w:t xml:space="preserve">Investigate and integrate lower-carbon materials, increase the use of recycled content, and collaborate with suppliers to reduce the embedded carbon in components.</w:t>
      </w:r>
    </w:p>
    <w:p>
      <w:pPr>
        <w:numPr>
          <w:ilvl w:val="0"/>
          <w:numId w:val="1014"/>
        </w:numPr>
        <w:pStyle w:val="Compact"/>
      </w:pPr>
      <w:r>
        <w:rPr>
          <w:bCs/>
          <w:b/>
        </w:rPr>
        <w:t xml:space="preserve">Renewable Energy Transition:</w:t>
      </w:r>
      <w:r>
        <w:t xml:space="preserve"> </w:t>
      </w:r>
      <w:r>
        <w:t xml:space="preserve">Continue efforts towards 100% renewable energy usage in mzghodfopl\'s manufacturing operations and explore green energy options for the wider supply chain.</w:t>
      </w:r>
    </w:p>
    <w:p>
      <w:pPr>
        <w:numPr>
          <w:ilvl w:val="0"/>
          <w:numId w:val="1014"/>
        </w:numPr>
        <w:pStyle w:val="Compact"/>
      </w:pPr>
      <w:r>
        <w:rPr>
          <w:bCs/>
          <w:b/>
        </w:rPr>
        <w:t xml:space="preserve">Circular Economy Initiatives:</w:t>
      </w:r>
      <w:r>
        <w:t xml:space="preserve"> </w:t>
      </w:r>
      <w:r>
        <w:t xml:space="preserve">Strengthen the existing take-back program and explore further opportunities for product longevity, repairability, and high-quality recycling pathways to maximize circularity.</w:t>
      </w:r>
    </w:p>
    <w:p>
      <w:pPr>
        <w:numPr>
          <w:ilvl w:val="0"/>
          <w:numId w:val="1014"/>
        </w:numPr>
        <w:pStyle w:val="Compact"/>
      </w:pPr>
      <w:r>
        <w:rPr>
          <w:bCs/>
          <w:b/>
        </w:rPr>
        <w:t xml:space="preserve">Logistics Optimization:</w:t>
      </w:r>
      <w:r>
        <w:t xml:space="preserve"> </w:t>
      </w:r>
      <w:r>
        <w:t xml:space="preserve">Optimize transport routes, modes, and vehicle utilization to minimize emissions from both upstream and downstream logistics.</w: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lytegojpfj</dc:title>
  <dc:creator/>
  <dc:description>High-detail Product Carbon Footprint (PCF) analysis report for lytegojpfj, for mzghodfopl, prepared by Senior Sustainability Consultant zkfkdkvvov, adhering to GHG Protocol standards.</dc:description>
  <dc:language>en</dc:language>
  <cp:keywords/>
  <dcterms:created xsi:type="dcterms:W3CDTF">2026-07-15T07:24:31Z</dcterms:created>
  <dcterms:modified xsi:type="dcterms:W3CDTF">2026-07-15T07:24:31Z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