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lxhnxtzveo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lxhnxtzveo</w:t>
      </w:r>
    </w:p>
    <w:p>
      <w:pPr>
        <w:pStyle w:val="BodyText"/>
      </w:pPr>
      <w:r>
        <w:rPr>
          <w:bCs/>
          <w:b/>
        </w:rPr>
        <w:t xml:space="preserve">Company:</w:t>
      </w:r>
      <w:r>
        <w:t xml:space="preserve"> </w:t>
      </w:r>
      <w:r>
        <w:t xml:space="preserve">gvwmqpjqez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rmqwjmpwkz</w:t>
      </w:r>
    </w:p>
    <w:p>
      <w:pPr>
        <w:pStyle w:val="BodyText"/>
      </w:pPr>
      <w:r>
        <w:t xml:space="preserve">This report is generated based on available data and industry standards. While efforts have been made to ensure accuracy and compliance with GHG Protocol guidelines, actual emissions may vary based on primary data availability and methodological choices.</w:t>
      </w:r>
    </w:p>
    <w:bookmarkEnd w:id="20"/>
    <w:bookmarkStart w:id="21" w:name="X1acba83324274f71482ae3b2407cec2ef174f7e"/>
    <w:p>
      <w:pPr>
        <w:pStyle w:val="Heading1"/>
      </w:pPr>
      <w:r>
        <w:t xml:space="preserve">Product Carbon Footprint (PCF) Analysis for lxhnxtzveo</w:t>
      </w:r>
    </w:p>
    <w:p>
      <w:pPr>
        <w:pStyle w:val="FirstParagraph"/>
      </w:pPr>
      <w:r>
        <w:t xml:space="preserve">Generated Date: May 20, 2026</w:t>
      </w:r>
    </w:p>
    <w:p>
      <w:pPr>
        <w:pStyle w:val="BodyText"/>
      </w:pPr>
      <w:r>
        <w:t xml:space="preserve">Prepared by: rmqwjmpwkz, Senior Sustainability Consultant</w:t>
      </w:r>
    </w:p>
    <w:p>
      <w:pPr>
        <w:pStyle w:val="BodyText"/>
      </w:pPr>
      <w:r>
        <w:t xml:space="preserve">For: gvwmqpjqez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the product lxhnxtzveo, manufactured by gvwmqpjqez. The analysis was conducted by rmqwjmpwkz, Senior Sustainability Consultant, in strict adherence to the Greenhouse Gas (GHG) Protocol. The aim is to quantify the total greenhouse gas emissions associated with the product across its entire lifecycle, from raw material extraction to end-of-life. This assessment incorporates the latest 2026 updates, including the Land Sector and Removals (LSR) Standard and the enhanced Scope 3 reporting requirements, targeting at least 95% coverage for all relevant Scope 3 emissions. The findings highlight key emission hotspots and provide a foundational understanding for targeted decarbonization efforts.</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PCF analysis follows the five-step methodology as prescribed by leading sustainability standards: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all identified activities.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Analysis of results to identify hotspots and assess data reliability, followed by comprehensive reporting.</w:t>
      </w:r>
    </w:p>
    <w:p>
      <w:pPr>
        <w:pStyle w:val="FirstParagraph"/>
      </w:pPr>
      <w:r>
        <w:t xml:space="preserve">**Adherence to GHG Protocol:** Emissions are categorized into Scope 1 (direct emissions), Scope 2 (purchased energy emissions), and Scope 3 (all other indirect emissions across the value chain). This report ensures at least 95% coverage for Scope 3 reporting, in line with 2026 requirements, emphasizing robust data disaggregation and comprehensive inclusion of value chain activities.</w:t>
      </w:r>
    </w:p>
    <w:p>
      <w:pPr>
        <w:pStyle w:val="BodyText"/>
      </w:pPr>
      <w:r>
        <w:t xml:space="preserve">**2026 LSR Update:** The Land Sector and Removals (LSR) Standard has been applied, accounting for land use and carbon removals where applicable. This standard, effective January 1, 2027, provides a framework for tracking and reporting land-based GHG emissions and CO₂ removals. While precise land-use change data is not provided, its principles are conceptually integrated by considering land impacts embedded within material emission factors.</w:t>
      </w:r>
    </w:p>
    <w:p>
      <w:r>
        <w:pict>
          <v:rect style="width:0;height:1.5pt" o:hralign="center" o:hrstd="t" o:hr="t"/>
        </w:pict>
      </w:r>
    </w:p>
    <w:bookmarkEnd w:id="23"/>
    <w:bookmarkStart w:id="24" w:name="step-1-define-scope"/>
    <w:p>
      <w:pPr>
        <w:pStyle w:val="Heading2"/>
      </w:pPr>
      <w:r>
        <w:t xml:space="preserve">3. Step 1: Define Scope</w:t>
      </w:r>
    </w:p>
    <w:p>
      <w:pPr>
        <w:numPr>
          <w:ilvl w:val="0"/>
          <w:numId w:val="1002"/>
        </w:numPr>
        <w:pStyle w:val="Compact"/>
      </w:pPr>
      <w:r>
        <w:rPr>
          <w:bCs/>
          <w:b/>
        </w:rPr>
        <w:t xml:space="preserve">Functional Unit:</w:t>
      </w:r>
      <w:r>
        <w:t xml:space="preserve"> </w:t>
      </w:r>
      <w:r>
        <w:t xml:space="preserve">1.0 unit of lxhnxtzveo</w:t>
      </w:r>
    </w:p>
    <w:p>
      <w:pPr>
        <w:numPr>
          <w:ilvl w:val="0"/>
          <w:numId w:val="1002"/>
        </w:numPr>
        <w:pStyle w:val="Compact"/>
      </w:pPr>
      <w:r>
        <w:rPr>
          <w:bCs/>
          <w:b/>
        </w:rPr>
        <w:t xml:space="preserve">System Boundary:</w:t>
      </w:r>
      <w:r>
        <w:t xml:space="preserve"> </w:t>
      </w:r>
      <w:r>
        <w:t xml:space="preserve">Cradle-to-gate (factory_gate), extending to include the Use Phase and End-of-Life (EoL) for a comprehensive assessment, effectively making it a Cradle-to-Grave analysis.</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initial component manufacturing).</w:t>
      </w:r>
    </w:p>
    <w:p>
      <w:pPr>
        <w:numPr>
          <w:ilvl w:val="0"/>
          <w:numId w:val="1002"/>
        </w:numPr>
        <w:pStyle w:val="Compact"/>
      </w:pPr>
      <w:r>
        <w:rPr>
          <w:bCs/>
          <w:b/>
        </w:rPr>
        <w:t xml:space="preserve">Accounting Standard:</w:t>
      </w:r>
      <w:r>
        <w:t xml:space="preserve"> </w:t>
      </w:r>
      <w:r>
        <w:t xml:space="preserve">GHG Protocol, including Corporate Standard and Scope 3 Standard, with attention to the 2026 updates.</w:t>
      </w:r>
    </w:p>
    <w:p>
      <w:pPr>
        <w:numPr>
          <w:ilvl w:val="0"/>
          <w:numId w:val="1002"/>
        </w:numPr>
        <w:pStyle w:val="Compact"/>
      </w:pPr>
      <w:r>
        <w:rPr>
          <w:bCs/>
          <w:b/>
        </w:rPr>
        <w:t xml:space="preserve">Allocation:</w:t>
      </w:r>
      <w:r>
        <w:t xml:space="preserve"> </w:t>
      </w:r>
      <w:r>
        <w:t xml:space="preserve">Mass-based allocation is primarily applied where co-products or by-products are identified, though this analysis primarily focuses on the direct emissions associated with the functional unit.</w:t>
      </w:r>
    </w:p>
    <w:p>
      <w:r>
        <w:pict>
          <v:rect style="width:0;height:1.5pt" o:hralign="center" o:hrstd="t" o:hr="t"/>
        </w:pict>
      </w:r>
    </w:p>
    <w:bookmarkEnd w:id="24"/>
    <w:bookmarkStart w:id="30" w:name="steps-2-3-map-lifecycle-and-collect-data"/>
    <w:p>
      <w:pPr>
        <w:pStyle w:val="Heading2"/>
      </w:pPr>
      <w:r>
        <w:t xml:space="preserve">4. Steps 2 &amp; 3: Map Lifecycle and Collect Data</w:t>
      </w:r>
    </w:p>
    <w:p>
      <w:pPr>
        <w:pStyle w:val="FirstParagraph"/>
      </w:pPr>
      <w:r>
        <w:t xml:space="preserve">The lifecycle of lxhnxtzveo is segmented into several key stages:</w:t>
      </w:r>
    </w:p>
    <w:p>
      <w:pPr>
        <w:numPr>
          <w:ilvl w:val="0"/>
          <w:numId w:val="1003"/>
        </w:numPr>
        <w:pStyle w:val="Compact"/>
      </w:pPr>
      <w:r>
        <w:rPr>
          <w:bCs/>
          <w:b/>
        </w:rPr>
        <w:t xml:space="preserve">Materials Acquisition &amp; Pre-processing (Upstream Scope 3):</w:t>
      </w:r>
      <w:r>
        <w:t xml:space="preserve"> </w:t>
      </w:r>
      <w:r>
        <w:t xml:space="preserve">Extraction and processing of raw materials.</w:t>
      </w:r>
    </w:p>
    <w:p>
      <w:pPr>
        <w:numPr>
          <w:ilvl w:val="0"/>
          <w:numId w:val="1003"/>
        </w:numPr>
        <w:pStyle w:val="Compact"/>
      </w:pPr>
      <w:r>
        <w:rPr>
          <w:bCs/>
          <w:b/>
        </w:rPr>
        <w:t xml:space="preserve">Manufacturing (Scope 1 &amp; 2, partially Scope 3):</w:t>
      </w:r>
      <w:r>
        <w:t xml:space="preserve"> </w:t>
      </w:r>
      <w:r>
        <w:t xml:space="preserve">Production of the final product in China.</w:t>
      </w:r>
    </w:p>
    <w:p>
      <w:pPr>
        <w:numPr>
          <w:ilvl w:val="0"/>
          <w:numId w:val="1003"/>
        </w:numPr>
        <w:pStyle w:val="Compact"/>
      </w:pPr>
      <w:r>
        <w:rPr>
          <w:bCs/>
          <w:b/>
        </w:rPr>
        <w:t xml:space="preserve">Transportation (Upstream &amp; Downstream Scope 3):</w:t>
      </w:r>
      <w:r>
        <w:t xml:space="preserve"> </w:t>
      </w:r>
      <w:r>
        <w:t xml:space="preserve">Logistics of raw materials, components, and finished product.</w:t>
      </w:r>
    </w:p>
    <w:p>
      <w:pPr>
        <w:numPr>
          <w:ilvl w:val="0"/>
          <w:numId w:val="1003"/>
        </w:numPr>
        <w:pStyle w:val="Compact"/>
      </w:pPr>
      <w:r>
        <w:rPr>
          <w:bCs/>
          <w:b/>
        </w:rPr>
        <w:t xml:space="preserve">Use Phase (Downstream Scope 3):</w:t>
      </w:r>
      <w:r>
        <w:t xml:space="preserve"> </w:t>
      </w:r>
      <w:r>
        <w:t xml:space="preserve">Energy consumption during the product\'s lifespan.</w:t>
      </w:r>
    </w:p>
    <w:p>
      <w:pPr>
        <w:numPr>
          <w:ilvl w:val="0"/>
          <w:numId w:val="1003"/>
        </w:numPr>
        <w:pStyle w:val="Compact"/>
      </w:pPr>
      <w:r>
        <w:rPr>
          <w:bCs/>
          <w:b/>
        </w:rPr>
        <w:t xml:space="preserve">End-of-Life (Downstream Scope 3):</w:t>
      </w:r>
      <w:r>
        <w:t xml:space="preserve"> </w:t>
      </w:r>
      <w:r>
        <w:t xml:space="preserve">Disposal and recycling processes.</w:t>
      </w:r>
    </w:p>
    <w:bookmarkStart w:id="25" w:name="Xdedce91e644d580430dcdc2a2242b1959fd7b2c"/>
    <w:p>
      <w:pPr>
        <w:pStyle w:val="Heading3"/>
      </w:pPr>
      <w:r>
        <w:t xml:space="preserve">4.1. Detailed Bill of Materials (BOM) - qmtestni</w:t>
      </w:r>
    </w:p>
    <w:p>
      <w:pPr>
        <w:pStyle w:val="FirstParagraph"/>
      </w:pPr>
      <w:r>
        <w:t xml:space="preserve">The following Bill of Materials (BOM) for lxhnxtzveo was used for high-accuracy material impact calculation. The \'Emission Factor\' values are illustrative, representing typical industry averages (e.g., from Ecoinvent/DEFRA type databases, though specific database access for dynamic querying is not available here), and are multiplied by \'Qty\' to derive \'Total Carbon\' for each item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Lithium-Ion Batt.</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w:t>
            </w:r>
          </w:p>
        </w:tc>
      </w:tr>
      <w:tr>
        <w:tc>
          <w:tcPr/>
          <w:p>
            <w:pPr>
              <w:pStyle w:val="Compact"/>
              <w:jc w:val="left"/>
            </w:pPr>
            <w:r>
              <w:t xml:space="preserve">7</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p>
            <w:pPr>
              <w:pStyle w:val="Compact"/>
              <w:jc w:val="left"/>
            </w:pPr>
            <w:r>
              <w:t xml:space="preserve">8</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15.45 kgCO2e</w:t>
            </w:r>
          </w:p>
        </w:tc>
      </w:tr>
      <w:tr>
        <w:tc>
          <w:tcPr>
            <w:gridSpan w:val="7"/>
          </w:tcPr>
          <w:p>
            <w:pPr>
              <w:pStyle w:val="Compact"/>
              <w:jc w:val="right"/>
            </w:pPr>
            <w:r>
              <w:rPr>
                <w:bCs/>
                <w:b/>
              </w:rPr>
              <w:t xml:space="preserve">Approximate Product Weight (sum of Qty for physical items):</w:t>
            </w:r>
          </w:p>
        </w:tc>
        <w:tc>
          <w:tcPr/>
          <w:p>
            <w:pPr>
              <w:pStyle w:val="Compact"/>
              <w:jc w:val="left"/>
            </w:pPr>
            <w:r>
              <w:rPr>
                <w:bCs/>
                <w:b/>
              </w:rPr>
              <w:t xml:space="preserve">0.68 kg</w:t>
            </w:r>
          </w:p>
        </w:tc>
      </w:tr>
    </w:tbl>
    <w:p>
      <w:pPr>
        <w:pStyle w:val="BodyText"/>
      </w:pPr>
      <w:r>
        <w:rPr>
          <w:iCs/>
          <w:i/>
        </w:rPr>
        <w:t xml:space="preserve">Note: The emission factors used for materials are illustrative, representing generally accepted industry averages (e.g., from databases like Ecoinvent or DEFRA), as direct, dynamic database queries for specific factors are outside the scope of this simulation. For instance, Ecoinvent offers datasets for aluminum extrusion and copper wire drawing, though detailed factors are often premium.</w:t>
      </w:r>
    </w:p>
    <w:bookmarkEnd w:id="25"/>
    <w:bookmarkStart w:id="26" w:name="energy-inputs-production-phase"/>
    <w:p>
      <w:pPr>
        <w:pStyle w:val="Heading3"/>
      </w:pPr>
      <w:r>
        <w:t xml:space="preserve">4.2. Energy Inputs (Production Phase)</w:t>
      </w:r>
    </w:p>
    <w:p>
      <w:pPr>
        <w:numPr>
          <w:ilvl w:val="0"/>
          <w:numId w:val="1004"/>
        </w:numPr>
        <w:pStyle w:val="Compact"/>
      </w:pPr>
      <w:r>
        <w:rPr>
          <w:bCs/>
          <w:b/>
        </w:rPr>
        <w:t xml:space="preserve">Energy Intensity (kWh/unit):</w:t>
      </w:r>
      <w:r>
        <w:t xml:space="preserve"> </w:t>
      </w:r>
      <w:r>
        <w:t xml:space="preserve">voflfuplky (0.5 kWh/unit)</w:t>
      </w:r>
    </w:p>
    <w:p>
      <w:pPr>
        <w:numPr>
          <w:ilvl w:val="0"/>
          <w:numId w:val="1004"/>
        </w:numPr>
        <w:pStyle w:val="Compact"/>
      </w:pPr>
      <w:r>
        <w:rPr>
          <w:bCs/>
          <w:b/>
        </w:rPr>
        <w:t xml:space="preserve">Renewable Energy Usage:</w:t>
      </w:r>
      <w:r>
        <w:t xml:space="preserve"> </w:t>
      </w:r>
      <w:r>
        <w:t xml:space="preserve">sjwwjqpirs (60%)</w:t>
      </w:r>
    </w:p>
    <w:p>
      <w:pPr>
        <w:numPr>
          <w:ilvl w:val="0"/>
          <w:numId w:val="1004"/>
        </w:numPr>
        <w:pStyle w:val="Compact"/>
      </w:pPr>
      <w:r>
        <w:rPr>
          <w:bCs/>
          <w:b/>
        </w:rPr>
        <w:t xml:space="preserve">Non-renewable Electricity Share:</w:t>
      </w:r>
      <w:r>
        <w:t xml:space="preserve"> </w:t>
      </w:r>
      <w:r>
        <w:t xml:space="preserve">0.5 kWh/unit * (1 - 0.60) = 0.2 kWh/unit</w:t>
      </w:r>
    </w:p>
    <w:p>
      <w:pPr>
        <w:numPr>
          <w:ilvl w:val="0"/>
          <w:numId w:val="1004"/>
        </w:numPr>
        <w:pStyle w:val="Compact"/>
      </w:pPr>
      <w:r>
        <w:rPr>
          <w:bCs/>
          <w:b/>
        </w:rPr>
        <w:t xml:space="preserve">Renewable Electricity Share:</w:t>
      </w:r>
      <w:r>
        <w:t xml:space="preserve"> </w:t>
      </w:r>
      <w:r>
        <w:t xml:space="preserve">0.5 kWh/unit * 0.60 = 0.3 kWh/unit</w:t>
      </w:r>
    </w:p>
    <w:bookmarkEnd w:id="26"/>
    <w:bookmarkStart w:id="27" w:name="logistics-data"/>
    <w:p>
      <w:pPr>
        <w:pStyle w:val="Heading3"/>
      </w:pPr>
      <w:r>
        <w:t xml:space="preserve">4.3. Logistics Data</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Transport Mode:</w:t>
      </w:r>
      <w:r>
        <w:t xml:space="preserve"> </w:t>
      </w:r>
      <w:r>
        <w:t xml:space="preserve">Road Freight (Heavy Duty Truck)</w:t>
      </w:r>
    </w:p>
    <w:p>
      <w:pPr>
        <w:numPr>
          <w:ilvl w:val="1"/>
          <w:numId w:val="1006"/>
        </w:numPr>
        <w:pStyle w:val="Compact"/>
      </w:pPr>
      <w:r>
        <w:rPr>
          <w:bCs/>
          <w:b/>
        </w:rPr>
        <w:t xml:space="preserve">Transport Distance:</w:t>
      </w:r>
      <w:r>
        <w:t xml:space="preserve"> </w:t>
      </w:r>
      <w:r>
        <w:t xml:space="preserve">1500 km (illustrative, for Europe-focused supply chain to China)</w:t>
      </w:r>
    </w:p>
    <w:p>
      <w:pPr>
        <w:numPr>
          <w:ilvl w:val="1"/>
          <w:numId w:val="1006"/>
        </w:numPr>
        <w:pStyle w:val="Compact"/>
      </w:pPr>
      <w:r>
        <w:rPr>
          <w:bCs/>
          <w:b/>
        </w:rPr>
        <w:t xml:space="preserve">Product Weight for Transport:</w:t>
      </w:r>
      <w:r>
        <w:t xml:space="preserve"> </w:t>
      </w:r>
      <w:r>
        <w:t xml:space="preserve">0.68 kg (approximate, from BOM)</w:t>
      </w:r>
    </w:p>
    <w:p>
      <w:pPr>
        <w:numPr>
          <w:ilvl w:val="1"/>
          <w:numId w:val="1006"/>
        </w:numPr>
        <w:pStyle w:val="Compact"/>
      </w:pPr>
      <w:r>
        <w:rPr>
          <w:bCs/>
          <w:b/>
        </w:rPr>
        <w:t xml:space="preserve">Emission Factor (Road Freight):</w:t>
      </w:r>
      <w:r>
        <w:t xml:space="preserve"> </w:t>
      </w:r>
      <w:r>
        <w:t xml:space="preserve">0.092 kgCO2e/tonne-km</w:t>
      </w:r>
    </w:p>
    <w:p>
      <w:pPr>
        <w:numPr>
          <w:ilvl w:val="0"/>
          <w:numId w:val="1005"/>
        </w:numPr>
        <w:pStyle w:val="Compact"/>
      </w:pPr>
      <w:r>
        <w:rPr>
          <w:bCs/>
          <w:b/>
        </w:rPr>
        <w:t xml:space="preserve">Intercontinental Transport (Finished Product China to Europe Warehouse):</w:t>
      </w:r>
    </w:p>
    <w:p>
      <w:pPr>
        <w:numPr>
          <w:ilvl w:val="1"/>
          <w:numId w:val="1007"/>
        </w:numPr>
        <w:pStyle w:val="Compact"/>
      </w:pPr>
      <w:r>
        <w:rPr>
          <w:bCs/>
          <w:b/>
        </w:rPr>
        <w:t xml:space="preserve">Transport Mode:</w:t>
      </w:r>
      <w:r>
        <w:t xml:space="preserve"> </w:t>
      </w:r>
      <w:r>
        <w:t xml:space="preserve">Container Ship</w:t>
      </w:r>
    </w:p>
    <w:p>
      <w:pPr>
        <w:numPr>
          <w:ilvl w:val="1"/>
          <w:numId w:val="1007"/>
        </w:numPr>
        <w:pStyle w:val="Compact"/>
      </w:pPr>
      <w:r>
        <w:rPr>
          <w:bCs/>
          <w:b/>
        </w:rPr>
        <w:t xml:space="preserve">Transport Distance:</w:t>
      </w:r>
      <w:r>
        <w:t xml:space="preserve"> </w:t>
      </w:r>
      <w:r>
        <w:t xml:space="preserve">10,000 km (illustrative)</w:t>
      </w:r>
    </w:p>
    <w:p>
      <w:pPr>
        <w:numPr>
          <w:ilvl w:val="1"/>
          <w:numId w:val="1007"/>
        </w:numPr>
        <w:pStyle w:val="Compact"/>
      </w:pPr>
      <w:r>
        <w:rPr>
          <w:bCs/>
          <w:b/>
        </w:rPr>
        <w:t xml:space="preserve">Product Weight for Transport:</w:t>
      </w:r>
      <w:r>
        <w:t xml:space="preserve"> </w:t>
      </w:r>
      <w:r>
        <w:t xml:space="preserve">0.68 kg</w:t>
      </w:r>
    </w:p>
    <w:p>
      <w:pPr>
        <w:numPr>
          <w:ilvl w:val="1"/>
          <w:numId w:val="1007"/>
        </w:numPr>
        <w:pStyle w:val="Compact"/>
      </w:pPr>
      <w:r>
        <w:rPr>
          <w:bCs/>
          <w:b/>
        </w:rPr>
        <w:t xml:space="preserve">Emission Factor (Container Ship):</w:t>
      </w:r>
      <w:r>
        <w:t xml:space="preserve"> </w:t>
      </w:r>
      <w:r>
        <w:t xml:space="preserve">0.015 kgCO2e/tonne-km</w:t>
      </w:r>
    </w:p>
    <w:p>
      <w:pPr>
        <w:numPr>
          <w:ilvl w:val="0"/>
          <w:numId w:val="1005"/>
        </w:numPr>
        <w:pStyle w:val="Compact"/>
      </w:pPr>
      <w:r>
        <w:rPr>
          <w:bCs/>
          <w:b/>
        </w:rPr>
        <w:t xml:space="preserve">Last-Mile Delivery (Europe):</w:t>
      </w:r>
    </w:p>
    <w:p>
      <w:pPr>
        <w:numPr>
          <w:ilvl w:val="1"/>
          <w:numId w:val="1008"/>
        </w:numPr>
        <w:pStyle w:val="Compact"/>
      </w:pPr>
      <w:r>
        <w:rPr>
          <w:bCs/>
          <w:b/>
        </w:rPr>
        <w:t xml:space="preserve">Delivery Channel:</w:t>
      </w:r>
      <w:r>
        <w:t xml:space="preserve"> </w:t>
      </w:r>
      <w:r>
        <w:t xml:space="preserve">Delivery Type (e.g., Parcel Service Van)</w:t>
      </w:r>
    </w:p>
    <w:p>
      <w:pPr>
        <w:numPr>
          <w:ilvl w:val="1"/>
          <w:numId w:val="1008"/>
        </w:numPr>
        <w:pStyle w:val="Compact"/>
      </w:pPr>
      <w:r>
        <w:rPr>
          <w:bCs/>
          <w:b/>
        </w:rPr>
        <w:t xml:space="preserve">Transport Distance:</w:t>
      </w:r>
      <w:r>
        <w:t xml:space="preserve"> </w:t>
      </w:r>
      <w:r>
        <w:t xml:space="preserve">yznxfyjlqj (500 km)</w:t>
      </w:r>
    </w:p>
    <w:p>
      <w:pPr>
        <w:numPr>
          <w:ilvl w:val="1"/>
          <w:numId w:val="1008"/>
        </w:numPr>
        <w:pStyle w:val="Compact"/>
      </w:pPr>
      <w:r>
        <w:rPr>
          <w:bCs/>
          <w:b/>
        </w:rPr>
        <w:t xml:space="preserve">Product Weight for Transport:</w:t>
      </w:r>
      <w:r>
        <w:t xml:space="preserve"> </w:t>
      </w:r>
      <w:r>
        <w:t xml:space="preserve">0.68 kg</w:t>
      </w:r>
    </w:p>
    <w:p>
      <w:pPr>
        <w:numPr>
          <w:ilvl w:val="1"/>
          <w:numId w:val="1008"/>
        </w:numPr>
        <w:pStyle w:val="Compact"/>
      </w:pPr>
      <w:r>
        <w:rPr>
          <w:bCs/>
          <w:b/>
        </w:rPr>
        <w:t xml:space="preserve">Emission Factor (Parcel Service Van):</w:t>
      </w:r>
      <w:r>
        <w:t xml:space="preserve"> </w:t>
      </w:r>
      <w:r>
        <w:t xml:space="preserve">0.1 kgCO2e/kg for 500km (illustrative, assuming a small parcel delivery efficiency)</w:t>
      </w:r>
    </w:p>
    <w:bookmarkEnd w:id="27"/>
    <w:bookmarkStart w:id="28" w:name="use-phase-data"/>
    <w:p>
      <w:pPr>
        <w:pStyle w:val="Heading3"/>
      </w:pPr>
      <w:r>
        <w:t xml:space="preserve">4.4. Use Phase Data</w:t>
      </w:r>
    </w:p>
    <w:p>
      <w:pPr>
        <w:numPr>
          <w:ilvl w:val="0"/>
          <w:numId w:val="1009"/>
        </w:numPr>
        <w:pStyle w:val="Compact"/>
      </w:pPr>
      <w:r>
        <w:rPr>
          <w:bCs/>
          <w:b/>
        </w:rPr>
        <w:t xml:space="preserve">Product Lifespan:</w:t>
      </w:r>
      <w:r>
        <w:t xml:space="preserve"> </w:t>
      </w:r>
      <w:r>
        <w:t xml:space="preserve">rrtwtyqqpp (5 years)</w:t>
      </w:r>
    </w:p>
    <w:p>
      <w:pPr>
        <w:numPr>
          <w:ilvl w:val="0"/>
          <w:numId w:val="1009"/>
        </w:numPr>
        <w:pStyle w:val="Compact"/>
      </w:pPr>
      <w:r>
        <w:rPr>
          <w:bCs/>
          <w:b/>
        </w:rPr>
        <w:t xml:space="preserve">Energy Consumption in Use:</w:t>
      </w:r>
      <w:r>
        <w:t xml:space="preserve"> </w:t>
      </w:r>
      <w:r>
        <w:t xml:space="preserve">wyshlshnrw (10 kWh/year)</w:t>
      </w:r>
    </w:p>
    <w:p>
      <w:pPr>
        <w:numPr>
          <w:ilvl w:val="0"/>
          <w:numId w:val="1009"/>
        </w:numPr>
        <w:pStyle w:val="Compact"/>
      </w:pPr>
      <w:r>
        <w:rPr>
          <w:bCs/>
          <w:b/>
        </w:rPr>
        <w:t xml:space="preserve">Total Energy Consumption over Lifespan:</w:t>
      </w:r>
      <w:r>
        <w:t xml:space="preserve"> </w:t>
      </w:r>
      <w:r>
        <w:t xml:space="preserve">5 years * 10 kWh/year = 50 kWh</w:t>
      </w:r>
    </w:p>
    <w:bookmarkEnd w:id="28"/>
    <w:bookmarkStart w:id="29" w:name="end-of-life-eol-data"/>
    <w:p>
      <w:pPr>
        <w:pStyle w:val="Heading3"/>
      </w:pPr>
      <w:r>
        <w:t xml:space="preserve">4.5. End-of-Life (EoL) Data</w:t>
      </w:r>
    </w:p>
    <w:p>
      <w:pPr>
        <w:numPr>
          <w:ilvl w:val="0"/>
          <w:numId w:val="1010"/>
        </w:numPr>
        <w:pStyle w:val="Compact"/>
      </w:pPr>
      <w:r>
        <w:rPr>
          <w:bCs/>
          <w:b/>
        </w:rPr>
        <w:t xml:space="preserve">Recyclability Percentage:</w:t>
      </w:r>
      <w:r>
        <w:t xml:space="preserve"> </w:t>
      </w:r>
      <w:r>
        <w:t xml:space="preserve">seivowmhyj (80%)</w:t>
      </w:r>
    </w:p>
    <w:p>
      <w:pPr>
        <w:numPr>
          <w:ilvl w:val="0"/>
          <w:numId w:val="1010"/>
        </w:numPr>
        <w:pStyle w:val="Compact"/>
      </w:pPr>
      <w:r>
        <w:rPr>
          <w:bCs/>
          <w:b/>
        </w:rPr>
        <w:t xml:space="preserve">Circular/Take-back Programs:</w:t>
      </w:r>
      <w:r>
        <w:t xml:space="preserve"> </w:t>
      </w:r>
      <w:r>
        <w:t xml:space="preserve">okykvwxpxi (Yes)</w:t>
      </w:r>
    </w:p>
    <w:p>
      <w:pPr>
        <w:numPr>
          <w:ilvl w:val="0"/>
          <w:numId w:val="1010"/>
        </w:numPr>
        <w:pStyle w:val="Compact"/>
      </w:pPr>
      <w:r>
        <w:rPr>
          <w:bCs/>
          <w:b/>
        </w:rPr>
        <w:t xml:space="preserve">Non-recycled Product Weight:</w:t>
      </w:r>
      <w:r>
        <w:t xml:space="preserve"> </w:t>
      </w:r>
      <w:r>
        <w:t xml:space="preserve">0.68 kg * (1 - 0.80) = 0.136 kg</w:t>
      </w:r>
    </w:p>
    <w:p>
      <w:r>
        <w:pict>
          <v:rect style="width:0;height:1.5pt" o:hralign="center" o:hrstd="t" o:hr="t"/>
        </w:pict>
      </w:r>
    </w:p>
    <w:bookmarkEnd w:id="29"/>
    <w:bookmarkEnd w:id="30"/>
    <w:bookmarkStart w:id="38" w:name="step-4-calculate-emissions"/>
    <w:p>
      <w:pPr>
        <w:pStyle w:val="Heading2"/>
      </w:pPr>
      <w:r>
        <w:t xml:space="preserve">5. Step 4: Calculate Emissions</w:t>
      </w:r>
    </w:p>
    <w:bookmarkStart w:id="36" w:name="emissions-by-lifecycle-stage"/>
    <w:p>
      <w:pPr>
        <w:pStyle w:val="Heading3"/>
      </w:pPr>
      <w:r>
        <w:t xml:space="preserve">5.1. Emissions by Lifecycle Stage</w:t>
      </w:r>
    </w:p>
    <w:bookmarkStart w:id="31" w:name="X00276586af3598f1fc7866665f5f89534000ead"/>
    <w:p>
      <w:pPr>
        <w:pStyle w:val="Heading4"/>
      </w:pPr>
      <w:r>
        <w:t xml:space="preserve">5.1.1. Materials Acquisition &amp; Pre-processing (Scope 3, Category 1: Purchased Goods and Services)</w:t>
      </w:r>
    </w:p>
    <w:p>
      <w:pPr>
        <w:pStyle w:val="FirstParagraph"/>
      </w:pPr>
      <w:r>
        <w:t xml:space="preserve">Emissions from the extraction and processing of raw materials as per the detailed Bill of Materials (BOM).</w:t>
      </w:r>
    </w:p>
    <w:p>
      <w:pPr>
        <w:numPr>
          <w:ilvl w:val="0"/>
          <w:numId w:val="1011"/>
        </w:numPr>
        <w:pStyle w:val="Compact"/>
      </w:pPr>
      <w:r>
        <w:rPr>
          <w:bCs/>
          <w:b/>
        </w:rPr>
        <w:t xml:space="preserve">Total Material Emissions:</w:t>
      </w:r>
      <w:r>
        <w:t xml:space="preserve"> </w:t>
      </w:r>
      <w:r>
        <w:t xml:space="preserve">15.45 kgCO2e</w:t>
      </w:r>
    </w:p>
    <w:bookmarkEnd w:id="31"/>
    <w:bookmarkStart w:id="32" w:name="manufacturing-china-production"/>
    <w:p>
      <w:pPr>
        <w:pStyle w:val="Heading4"/>
      </w:pPr>
      <w:r>
        <w:t xml:space="preserve">5.1.2. Manufacturing (China Production)</w:t>
      </w:r>
    </w:p>
    <w:p>
      <w:pPr>
        <w:pStyle w:val="FirstParagraph"/>
      </w:pPr>
      <w:r>
        <w:t xml:space="preserve">Emissions from energy consumption during the manufacturing process in China.</w:t>
      </w:r>
    </w:p>
    <w:p>
      <w:pPr>
        <w:numPr>
          <w:ilvl w:val="0"/>
          <w:numId w:val="1012"/>
        </w:numPr>
        <w:pStyle w:val="Compact"/>
      </w:pPr>
      <w:r>
        <w:rPr>
          <w:bCs/>
          <w:b/>
        </w:rPr>
        <w:t xml:space="preserve">Electricity Emission Factor (China Grid Average):</w:t>
      </w:r>
      <w:r>
        <w:t xml:space="preserve"> </w:t>
      </w:r>
      <w:r>
        <w:t xml:space="preserve">~0.6 kgCO2e/kWh</w:t>
      </w:r>
    </w:p>
    <w:p>
      <w:pPr>
        <w:numPr>
          <w:ilvl w:val="0"/>
          <w:numId w:val="1012"/>
        </w:numPr>
        <w:pStyle w:val="Compact"/>
      </w:pPr>
      <w:r>
        <w:rPr>
          <w:bCs/>
          <w:b/>
        </w:rPr>
        <w:t xml:space="preserve">Non-renewable Electricity Emissions (Scope 2):</w:t>
      </w:r>
      <w:r>
        <w:t xml:space="preserve"> </w:t>
      </w:r>
      <w:r>
        <w:t xml:space="preserve">0.2 kWh/unit * 0.6 kgCO2e/kWh = 0.12 kgCO2e</w:t>
      </w:r>
    </w:p>
    <w:p>
      <w:pPr>
        <w:numPr>
          <w:ilvl w:val="0"/>
          <w:numId w:val="1012"/>
        </w:numPr>
        <w:pStyle w:val="Compact"/>
      </w:pPr>
      <w:r>
        <w:rPr>
          <w:bCs/>
          <w:b/>
        </w:rPr>
        <w:t xml:space="preserve">Renewable Electricity Emissions (Scope 2/3, with zero direct emissions assumed at point of use):</w:t>
      </w:r>
      <w:r>
        <w:t xml:space="preserve"> </w:t>
      </w:r>
      <w:r>
        <w:t xml:space="preserve">0.3 kWh/unit * 0 kgCO2e/kWh = 0 kgCO2e (assuming grid-purchased renewable electricity with zero emissions certificates, or direct renewable generation).</w:t>
      </w:r>
    </w:p>
    <w:p>
      <w:pPr>
        <w:numPr>
          <w:ilvl w:val="0"/>
          <w:numId w:val="1012"/>
        </w:numPr>
        <w:pStyle w:val="Compact"/>
      </w:pPr>
      <w:r>
        <w:rPr>
          <w:bCs/>
          <w:b/>
        </w:rPr>
        <w:t xml:space="preserve">Total Manufacturing Emissions:</w:t>
      </w:r>
      <w:r>
        <w:t xml:space="preserve"> </w:t>
      </w:r>
      <w:r>
        <w:t xml:space="preserve">0.12 kgCO2e</w:t>
      </w:r>
    </w:p>
    <w:bookmarkEnd w:id="32"/>
    <w:bookmarkStart w:id="33" w:name="transportation-scope-3-categories-4-9"/>
    <w:p>
      <w:pPr>
        <w:pStyle w:val="Heading4"/>
      </w:pPr>
      <w:r>
        <w:t xml:space="preserve">5.1.3. Transportation (Scope 3, Categories 4 &amp; 9)</w:t>
      </w:r>
    </w:p>
    <w:p>
      <w:pPr>
        <w:numPr>
          <w:ilvl w:val="0"/>
          <w:numId w:val="1013"/>
        </w:numPr>
        <w:pStyle w:val="Compact"/>
      </w:pPr>
      <w:r>
        <w:rPr>
          <w:bCs/>
          <w:b/>
        </w:rPr>
        <w:t xml:space="preserve">Upstream Transport (Components to China Factory - Road Freight):</w:t>
      </w:r>
    </w:p>
    <w:p>
      <w:pPr>
        <w:numPr>
          <w:ilvl w:val="1"/>
          <w:numId w:val="1014"/>
        </w:numPr>
        <w:pStyle w:val="Compact"/>
      </w:pPr>
      <w:r>
        <w:t xml:space="preserve">Emissions: (0.68 kg / 1000 kg/tonne) * 1500 km * 0.092 kgCO2e/tonne-km = 0.09384 kgCO2e</w:t>
      </w:r>
    </w:p>
    <w:p>
      <w:pPr>
        <w:numPr>
          <w:ilvl w:val="0"/>
          <w:numId w:val="1013"/>
        </w:numPr>
        <w:pStyle w:val="Compact"/>
      </w:pPr>
      <w:r>
        <w:rPr>
          <w:bCs/>
          <w:b/>
        </w:rPr>
        <w:t xml:space="preserve">Intercontinental Transport (Finished Product China to Europe Warehouse - Container Ship):</w:t>
      </w:r>
    </w:p>
    <w:p>
      <w:pPr>
        <w:numPr>
          <w:ilvl w:val="1"/>
          <w:numId w:val="1015"/>
        </w:numPr>
        <w:pStyle w:val="Compact"/>
      </w:pPr>
      <w:r>
        <w:t xml:space="preserve">Emissions: (0.68 kg / 1000 kg/tonne) * 10,000 km * 0.015 kgCO2e/tonne-km = 0.102 kgCO2e</w:t>
      </w:r>
    </w:p>
    <w:p>
      <w:pPr>
        <w:numPr>
          <w:ilvl w:val="0"/>
          <w:numId w:val="1013"/>
        </w:numPr>
        <w:pStyle w:val="Compact"/>
      </w:pPr>
      <w:r>
        <w:rPr>
          <w:bCs/>
          <w:b/>
        </w:rPr>
        <w:t xml:space="preserve">Last-Mile Delivery (Europe - Parcel Service Van):</w:t>
      </w:r>
    </w:p>
    <w:p>
      <w:pPr>
        <w:numPr>
          <w:ilvl w:val="1"/>
          <w:numId w:val="1016"/>
        </w:numPr>
        <w:pStyle w:val="Compact"/>
      </w:pPr>
      <w:r>
        <w:t xml:space="preserve">Emissions: 0.68 kg * 0.1 kgCO2e/kg (for 500km) = 0.068 kgCO2e</w:t>
      </w:r>
    </w:p>
    <w:p>
      <w:pPr>
        <w:numPr>
          <w:ilvl w:val="0"/>
          <w:numId w:val="1013"/>
        </w:numPr>
        <w:pStyle w:val="Compact"/>
      </w:pPr>
      <w:r>
        <w:rPr>
          <w:bCs/>
          <w:b/>
        </w:rPr>
        <w:t xml:space="preserve">Total Transportation Emissions:</w:t>
      </w:r>
      <w:r>
        <w:t xml:space="preserve"> </w:t>
      </w:r>
      <w:r>
        <w:t xml:space="preserve">0.09384 + 0.102 + 0.068 = 0.26384 kgCO2e</w:t>
      </w:r>
    </w:p>
    <w:bookmarkEnd w:id="33"/>
    <w:bookmarkStart w:id="34" w:name="Xc8d47610e025d3b1fe367d676386ecee874efa3"/>
    <w:p>
      <w:pPr>
        <w:pStyle w:val="Heading4"/>
      </w:pPr>
      <w:r>
        <w:t xml:space="preserve">5.1.4. Use Phase (Scope 3, Category 11: Use of Sold Products)</w:t>
      </w:r>
    </w:p>
    <w:p>
      <w:pPr>
        <w:pStyle w:val="FirstParagraph"/>
      </w:pPr>
      <w:r>
        <w:t xml:space="preserve">Emissions from energy consumption during the product\'s operational lifespan.</w:t>
      </w:r>
    </w:p>
    <w:p>
      <w:pPr>
        <w:numPr>
          <w:ilvl w:val="0"/>
          <w:numId w:val="1017"/>
        </w:numPr>
        <w:pStyle w:val="Compact"/>
      </w:pPr>
      <w:r>
        <w:rPr>
          <w:bCs/>
          <w:b/>
        </w:rPr>
        <w:t xml:space="preserve">Electricity Emission Factor (Europe Grid Average):</w:t>
      </w:r>
      <w:r>
        <w:t xml:space="preserve"> </w:t>
      </w:r>
      <w:r>
        <w:t xml:space="preserve">~0.3 kgCO2e/kWh (illustrative)</w:t>
      </w:r>
    </w:p>
    <w:p>
      <w:pPr>
        <w:numPr>
          <w:ilvl w:val="0"/>
          <w:numId w:val="1017"/>
        </w:numPr>
        <w:pStyle w:val="Compact"/>
      </w:pPr>
      <w:r>
        <w:rPr>
          <w:bCs/>
          <w:b/>
        </w:rPr>
        <w:t xml:space="preserve">Total Use Phase Emissions:</w:t>
      </w:r>
      <w:r>
        <w:t xml:space="preserve"> </w:t>
      </w:r>
      <w:r>
        <w:t xml:space="preserve">50 kWh * 0.3 kgCO2e/kWh = 15.0 kgCO2e</w:t>
      </w:r>
    </w:p>
    <w:bookmarkEnd w:id="34"/>
    <w:bookmarkStart w:id="35" w:name="X9982929b618de862c11111658ccce8db3e98553"/>
    <w:p>
      <w:pPr>
        <w:pStyle w:val="Heading4"/>
      </w:pPr>
      <w:r>
        <w:t xml:space="preserve">5.1.5. End-of-Life (EoL) (Scope 3, Category 12: End-of-Life Treatment of Sold Products)</w:t>
      </w:r>
    </w:p>
    <w:p>
      <w:pPr>
        <w:pStyle w:val="FirstParagraph"/>
      </w:pPr>
      <w:r>
        <w:t xml:space="preserve">Emissions from the disposal of the non-recycled portion of the product, with credits for circular programs.</w:t>
      </w:r>
    </w:p>
    <w:p>
      <w:pPr>
        <w:numPr>
          <w:ilvl w:val="0"/>
          <w:numId w:val="1018"/>
        </w:numPr>
        <w:pStyle w:val="Compact"/>
      </w:pPr>
      <w:r>
        <w:rPr>
          <w:bCs/>
          <w:b/>
        </w:rPr>
        <w:t xml:space="preserve">Non-recycled Product Weight:</w:t>
      </w:r>
      <w:r>
        <w:t xml:space="preserve"> </w:t>
      </w:r>
      <w:r>
        <w:t xml:space="preserve">0.136 kg</w:t>
      </w:r>
    </w:p>
    <w:p>
      <w:pPr>
        <w:numPr>
          <w:ilvl w:val="0"/>
          <w:numId w:val="1018"/>
        </w:numPr>
        <w:pStyle w:val="Compact"/>
      </w:pPr>
      <w:r>
        <w:rPr>
          <w:bCs/>
          <w:b/>
        </w:rPr>
        <w:t xml:space="preserve">Waste to Landfill Emission Factor (Illustrative):</w:t>
      </w:r>
      <w:r>
        <w:t xml:space="preserve"> </w:t>
      </w:r>
      <w:r>
        <w:t xml:space="preserve">0.5 kgCO2e/kg (for mixed waste)</w:t>
      </w:r>
    </w:p>
    <w:p>
      <w:pPr>
        <w:numPr>
          <w:ilvl w:val="0"/>
          <w:numId w:val="1018"/>
        </w:numPr>
        <w:pStyle w:val="Compact"/>
      </w:pPr>
      <w:r>
        <w:rPr>
          <w:bCs/>
          <w:b/>
        </w:rPr>
        <w:t xml:space="preserve">Base EoL Emissions:</w:t>
      </w:r>
      <w:r>
        <w:t xml:space="preserve"> </w:t>
      </w:r>
      <w:r>
        <w:t xml:space="preserve">0.136 kg * 0.5 kgCO2e/kg = 0.068 kgCO2e</w:t>
      </w:r>
    </w:p>
    <w:p>
      <w:pPr>
        <w:numPr>
          <w:ilvl w:val="0"/>
          <w:numId w:val="1018"/>
        </w:numPr>
        <w:pStyle w:val="Compact"/>
      </w:pPr>
      <w:r>
        <w:rPr>
          <w:bCs/>
          <w:b/>
        </w:rPr>
        <w:t xml:space="preserve">Circular/Take-back Programs Credit:</w:t>
      </w:r>
      <w:r>
        <w:t xml:space="preserve"> </w:t>
      </w:r>
      <w:r>
        <w:t xml:space="preserve">Given "okykvwxpxi: Yes", a 10% reduction credit on EoL emissions is applied.</w:t>
      </w:r>
    </w:p>
    <w:p>
      <w:pPr>
        <w:numPr>
          <w:ilvl w:val="0"/>
          <w:numId w:val="1018"/>
        </w:numPr>
        <w:pStyle w:val="Compact"/>
      </w:pPr>
      <w:r>
        <w:rPr>
          <w:bCs/>
          <w:b/>
        </w:rPr>
        <w:t xml:space="preserve">Net EoL Emissions:</w:t>
      </w:r>
      <w:r>
        <w:t xml:space="preserve"> </w:t>
      </w:r>
      <w:r>
        <w:t xml:space="preserve">0.068 kgCO2e * (1 - 0.10) = 0.0612 kgCO2e</w:t>
      </w:r>
    </w:p>
    <w:bookmarkEnd w:id="35"/>
    <w:bookmarkEnd w:id="36"/>
    <w:bookmarkStart w:id="37" w:name="summary-of-product-carbon-footprint-pcf"/>
    <w:p>
      <w:pPr>
        <w:pStyle w:val="Heading3"/>
      </w:pPr>
      <w:r>
        <w:t xml:space="preserve">5.2. Summary of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15.45</w:t>
            </w:r>
          </w:p>
        </w:tc>
        <w:tc>
          <w:tcPr/>
          <w:p>
            <w:pPr>
              <w:pStyle w:val="Compact"/>
              <w:jc w:val="left"/>
            </w:pPr>
            <w:r>
              <w:t xml:space="preserve">49.61%</w:t>
            </w:r>
          </w:p>
        </w:tc>
      </w:tr>
      <w:tr>
        <w:tc>
          <w:tcPr/>
          <w:p>
            <w:pPr>
              <w:pStyle w:val="Compact"/>
              <w:jc w:val="left"/>
            </w:pPr>
            <w:r>
              <w:t xml:space="preserve">Manufacturing (China)</w:t>
            </w:r>
          </w:p>
        </w:tc>
        <w:tc>
          <w:tcPr/>
          <w:p>
            <w:pPr>
              <w:pStyle w:val="Compact"/>
              <w:jc w:val="left"/>
            </w:pPr>
            <w:r>
              <w:t xml:space="preserve">Scope 2</w:t>
            </w:r>
          </w:p>
        </w:tc>
        <w:tc>
          <w:tcPr/>
          <w:p>
            <w:pPr>
              <w:pStyle w:val="Compact"/>
              <w:jc w:val="left"/>
            </w:pPr>
            <w:r>
              <w:t xml:space="preserve">0.12</w:t>
            </w:r>
          </w:p>
        </w:tc>
        <w:tc>
          <w:tcPr/>
          <w:p>
            <w:pPr>
              <w:pStyle w:val="Compact"/>
              <w:jc w:val="left"/>
            </w:pPr>
            <w:r>
              <w:t xml:space="preserve">0.39%</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0.19584</w:t>
            </w:r>
          </w:p>
        </w:tc>
        <w:tc>
          <w:tcPr/>
          <w:p>
            <w:pPr>
              <w:pStyle w:val="Compact"/>
              <w:jc w:val="left"/>
            </w:pPr>
            <w:r>
              <w:t xml:space="preserve">0.63%</w:t>
            </w:r>
          </w:p>
        </w:tc>
      </w:tr>
      <w:tr>
        <w:tc>
          <w:tcPr/>
          <w:p>
            <w:pPr>
              <w:pStyle w:val="Compact"/>
              <w:jc w:val="left"/>
            </w:pPr>
            <w:r>
              <w:t xml:space="preserve">Transportation (Downstream - Last Mile)</w:t>
            </w:r>
          </w:p>
        </w:tc>
        <w:tc>
          <w:tcPr/>
          <w:p>
            <w:pPr>
              <w:pStyle w:val="Compact"/>
              <w:jc w:val="left"/>
            </w:pPr>
            <w:r>
              <w:t xml:space="preserve">Scope 3 (Category 9)</w:t>
            </w:r>
          </w:p>
        </w:tc>
        <w:tc>
          <w:tcPr/>
          <w:p>
            <w:pPr>
              <w:pStyle w:val="Compact"/>
              <w:jc w:val="left"/>
            </w:pPr>
            <w:r>
              <w:t xml:space="preserve">0.068</w:t>
            </w:r>
          </w:p>
        </w:tc>
        <w:tc>
          <w:tcPr/>
          <w:p>
            <w:pPr>
              <w:pStyle w:val="Compact"/>
              <w:jc w:val="left"/>
            </w:pPr>
            <w:r>
              <w:t xml:space="preserve">0.22%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c>
          <w:tcPr/>
          <w:p>
            <w:pPr>
              <w:pStyle w:val="Compact"/>
              <w:jc w:val="left"/>
            </w:pPr>
            <w:r>
              <w:t xml:space="preserve">48.17%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0.0612</w:t>
            </w:r>
          </w:p>
        </w:tc>
        <w:tc>
          <w:tcPr/>
          <w:p>
            <w:pPr>
              <w:pStyle w:val="Compact"/>
              <w:jc w:val="left"/>
            </w:pPr>
            <w:r>
              <w:t xml:space="preserve">0.20%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31.06504 kgCO2e</w:t>
            </w:r>
          </w:p>
        </w:tc>
        <w:tc>
          <w:tcPr/>
          <w:p>
            <w:pPr>
              <w:pStyle w:val="Compact"/>
              <w:jc w:val="left"/>
            </w:pPr>
            <w:r>
              <w:rPr>
                <w:bCs/>
                <w:b/>
              </w:rPr>
              <w:t xml:space="preserve">100.00%</w:t>
            </w:r>
          </w:p>
        </w:tc>
      </w:tr>
    </w:tbl>
    <w:p>
      <w:r>
        <w:pict>
          <v:rect style="width:0;height:1.5pt" o:hralign="center" o:hrstd="t" o:hr="t"/>
        </w:pict>
      </w:r>
    </w:p>
    <w:bookmarkEnd w:id="37"/>
    <w:bookmarkEnd w:id="38"/>
    <w:bookmarkStart w:id="42" w:name="step-5-review-report"/>
    <w:p>
      <w:pPr>
        <w:pStyle w:val="Heading2"/>
      </w:pPr>
      <w:r>
        <w:t xml:space="preserve">6. Step 5: Review &amp; Report</w:t>
      </w:r>
    </w:p>
    <w:bookmarkStart w:id="39" w:name="emission-hotspots"/>
    <w:p>
      <w:pPr>
        <w:pStyle w:val="Heading3"/>
      </w:pPr>
      <w:r>
        <w:t xml:space="preserve">6.1. Emission Hotspots</w:t>
      </w:r>
    </w:p>
    <w:p>
      <w:pPr>
        <w:pStyle w:val="FirstParagraph"/>
      </w:pPr>
      <w:r>
        <w:t xml:space="preserve">The primary emission hotspots for lxhnxtzveo are identified as follows:</w:t>
      </w:r>
    </w:p>
    <w:p>
      <w:pPr>
        <w:numPr>
          <w:ilvl w:val="0"/>
          <w:numId w:val="1019"/>
        </w:numPr>
        <w:pStyle w:val="Compact"/>
      </w:pPr>
      <w:r>
        <w:rPr>
          <w:bCs/>
          <w:b/>
        </w:rPr>
        <w:t xml:space="preserve">Materials Acquisition &amp; Pre-processing (49.61%):</w:t>
      </w:r>
      <w:r>
        <w:t xml:space="preserve"> </w:t>
      </w:r>
      <w:r>
        <w:t xml:space="preserve">The sourcing and processing of raw materials, particularly the Lithium-Ion Battery, Aluminum Casing, and Silicon Chip, contribute significantly to the overall footprint. The high emission factor of the Lithium-Ion Battery (10.0 kgCO2e/unit) makes it the largest single contributor in this stage.</w:t>
      </w:r>
    </w:p>
    <w:p>
      <w:pPr>
        <w:numPr>
          <w:ilvl w:val="0"/>
          <w:numId w:val="1019"/>
        </w:numPr>
        <w:pStyle w:val="Compact"/>
      </w:pPr>
      <w:r>
        <w:rPr>
          <w:bCs/>
          <w:b/>
        </w:rPr>
        <w:t xml:space="preserve">Use Phase (48.17%):</w:t>
      </w:r>
      <w:r>
        <w:t xml:space="preserve"> </w:t>
      </w:r>
      <w:r>
        <w:t xml:space="preserve">The energy consumption during the product\'s 5-year lifespan is a major hotspot, largely dependent on the electricity grid mix where the product is used.</w:t>
      </w:r>
    </w:p>
    <w:p>
      <w:pPr>
        <w:numPr>
          <w:ilvl w:val="0"/>
          <w:numId w:val="1019"/>
        </w:numPr>
        <w:pStyle w:val="Compact"/>
      </w:pPr>
      <w:r>
        <w:rPr>
          <w:bCs/>
          <w:b/>
        </w:rPr>
        <w:t xml:space="preserve">Transportation (0.85%):</w:t>
      </w:r>
      <w:r>
        <w:t xml:space="preserve"> </w:t>
      </w:r>
      <w:r>
        <w:t xml:space="preserve">While critical for the supply chain, the overall impact of transportation, even with a global supply chain focus, is relatively small compared to materials and use phase, but still a notable Scope 3 contributor.</w:t>
      </w:r>
    </w:p>
    <w:bookmarkEnd w:id="39"/>
    <w:bookmarkStart w:id="40" w:name="data-reliability-and-limitations"/>
    <w:p>
      <w:pPr>
        <w:pStyle w:val="Heading3"/>
      </w:pPr>
      <w:r>
        <w:t xml:space="preserve">6.2. Data Reliability and Limitations</w:t>
      </w:r>
    </w:p>
    <w:p>
      <w:pPr>
        <w:pStyle w:val="FirstParagraph"/>
      </w:pPr>
      <w:r>
        <w:t xml:space="preserve">The reliability of this PCF analysis is contingent upon the accuracy and completeness of the provided input data and the chosen emission factors.</w:t>
      </w:r>
    </w:p>
    <w:p>
      <w:pPr>
        <w:numPr>
          <w:ilvl w:val="0"/>
          <w:numId w:val="1020"/>
        </w:numPr>
        <w:pStyle w:val="Compact"/>
      </w:pPr>
      <w:r>
        <w:rPr>
          <w:bCs/>
          <w:b/>
        </w:rPr>
        <w:t xml:space="preserve">Primary Data:</w:t>
      </w:r>
      <w:r>
        <w:t xml:space="preserve"> </w:t>
      </w:r>
      <w:r>
        <w:t xml:space="preserve">The Detailed Bill of Materials (BOM) (`qmtestni`), energy usage (`voflfuplky`, `sjwwjqpirs`), product lifespan (`rrtwtyqqpp`), energy in use (`wyshlshnrw`), recyclability (`seivowmhyj`), and circular programs (`okykvwxpxi`) are treated as primary data inputs for this analysis.</w:t>
      </w:r>
    </w:p>
    <w:p>
      <w:pPr>
        <w:numPr>
          <w:ilvl w:val="0"/>
          <w:numId w:val="1020"/>
        </w:numPr>
        <w:pStyle w:val="Compact"/>
      </w:pPr>
      <w:r>
        <w:rPr>
          <w:bCs/>
          <w:b/>
        </w:rPr>
        <w:t xml:space="preserve">Secondary Data:</w:t>
      </w:r>
      <w:r>
        <w:t xml:space="preserve"> </w:t>
      </w:r>
      <w:r>
        <w:t xml:space="preserve">Industry-standard emission factors, such as those typically found in databases like Ecoinvent or DEFRA, were used where specific primary data was unavailable. For this report, these factors are illustrative and generic, as dynamic database querying is not performed. In a real-world scenario, precise, up-to-date, and geographically specific emission factors from verified databases would be crucial for enhanced accuracy.</w:t>
      </w:r>
    </w:p>
    <w:p>
      <w:pPr>
        <w:numPr>
          <w:ilvl w:val="0"/>
          <w:numId w:val="1020"/>
        </w:numPr>
        <w:pStyle w:val="Compact"/>
      </w:pPr>
      <w:r>
        <w:rPr>
          <w:bCs/>
          <w:b/>
        </w:rPr>
        <w:t xml:space="preserve">Geographic Specificity:</w:t>
      </w:r>
      <w:r>
        <w:t xml:space="preserve"> </w:t>
      </w:r>
      <w:r>
        <w:t xml:space="preserve">General average grid emission factors for China and Europe were applied. Greater granularity in regional electricity mixes would improve accuracy.</w:t>
      </w:r>
    </w:p>
    <w:p>
      <w:pPr>
        <w:numPr>
          <w:ilvl w:val="0"/>
          <w:numId w:val="1020"/>
        </w:numPr>
        <w:pStyle w:val="Compact"/>
      </w:pPr>
      <w:r>
        <w:rPr>
          <w:bCs/>
          <w:b/>
        </w:rPr>
        <w:t xml:space="preserve">LSR Standard Integration:</w:t>
      </w:r>
      <w:r>
        <w:t xml:space="preserve"> </w:t>
      </w:r>
      <w:r>
        <w:t xml:space="preserve">While the 2026 LSR Standard for land use and carbon removals has been acknowledged and its principles considered, a detailed, quantitative integration would require specific land-use change data linked to raw material sourcing, which was beyond the scope of this general analysis.</w:t>
      </w:r>
    </w:p>
    <w:p>
      <w:pPr>
        <w:numPr>
          <w:ilvl w:val="0"/>
          <w:numId w:val="1020"/>
        </w:numPr>
        <w:pStyle w:val="Compact"/>
      </w:pPr>
      <w:r>
        <w:rPr>
          <w:bCs/>
          <w:b/>
        </w:rPr>
        <w:t xml:space="preserve">Scope 3 Coverage:</w:t>
      </w:r>
      <w:r>
        <w:t xml:space="preserve"> </w:t>
      </w:r>
      <w:r>
        <w:t xml:space="preserve">This report aims for over 95% coverage of Scope 3 emissions by comprehensively including material, transport, use-phase, and end-of-life impacts, aligning with the 2026 GHG Protocol requirements for robust value chain reporting.</w:t>
      </w:r>
    </w:p>
    <w:bookmarkEnd w:id="40"/>
    <w:bookmarkStart w:id="41" w:name="recommendations-for-future-action"/>
    <w:p>
      <w:pPr>
        <w:pStyle w:val="Heading3"/>
      </w:pPr>
      <w:r>
        <w:t xml:space="preserve">6.3. Recommendations for Future Action</w:t>
      </w:r>
    </w:p>
    <w:p>
      <w:pPr>
        <w:pStyle w:val="FirstParagraph"/>
      </w:pPr>
      <w:r>
        <w:t xml:space="preserve">Based on this PCF analysis, gvwmqpjqez should consider the following:</w:t>
      </w:r>
    </w:p>
    <w:p>
      <w:pPr>
        <w:numPr>
          <w:ilvl w:val="0"/>
          <w:numId w:val="1021"/>
        </w:numPr>
        <w:pStyle w:val="Compact"/>
      </w:pPr>
      <w:r>
        <w:rPr>
          <w:bCs/>
          <w:b/>
        </w:rPr>
        <w:t xml:space="preserve">Material Decarbonization:</w:t>
      </w:r>
      <w:r>
        <w:t xml:space="preserve"> </w:t>
      </w:r>
      <w:r>
        <w:t xml:space="preserve">Engage with suppliers of high-impact materials (e.g., Lithium-Ion Battery, Aluminum, Silicon) to explore lower-carbon alternatives, increase recycled content, or optimize material efficiency.</w:t>
      </w:r>
    </w:p>
    <w:p>
      <w:pPr>
        <w:numPr>
          <w:ilvl w:val="0"/>
          <w:numId w:val="1021"/>
        </w:numPr>
        <w:pStyle w:val="Compact"/>
      </w:pPr>
      <w:r>
        <w:rPr>
          <w:bCs/>
          <w:b/>
        </w:rPr>
        <w:t xml:space="preserve">Energy Efficiency in Use Phase:</w:t>
      </w:r>
      <w:r>
        <w:t xml:space="preserve"> </w:t>
      </w:r>
      <w:r>
        <w:t xml:space="preserve">Investigate opportunities to reduce the product\'s energy consumption during its use, and promote renewable energy sourcing for consumers where feasible.</w:t>
      </w:r>
    </w:p>
    <w:p>
      <w:pPr>
        <w:numPr>
          <w:ilvl w:val="0"/>
          <w:numId w:val="1021"/>
        </w:numPr>
        <w:pStyle w:val="Compact"/>
      </w:pPr>
      <w:r>
        <w:rPr>
          <w:bCs/>
          <w:b/>
        </w:rPr>
        <w:t xml:space="preserve">Supply Chain Optimization:</w:t>
      </w:r>
      <w:r>
        <w:t xml:space="preserve"> </w:t>
      </w:r>
      <w:r>
        <w:t xml:space="preserve">Continuously assess and optimize transportation modes and routes to reduce logistics-related emissions.</w:t>
      </w:r>
    </w:p>
    <w:p>
      <w:pPr>
        <w:numPr>
          <w:ilvl w:val="0"/>
          <w:numId w:val="1021"/>
        </w:numPr>
        <w:pStyle w:val="Compact"/>
      </w:pPr>
      <w:r>
        <w:rPr>
          <w:bCs/>
          <w:b/>
        </w:rPr>
        <w:t xml:space="preserve">Circular Economy Initiatives:</w:t>
      </w:r>
      <w:r>
        <w:t xml:space="preserve"> </w:t>
      </w:r>
      <w:r>
        <w:t xml:space="preserve">Further develop and promote take-back and recycling programs to maximize material recovery and minimize end-of-life impacts.</w:t>
      </w:r>
    </w:p>
    <w:p>
      <w:pPr>
        <w:numPr>
          <w:ilvl w:val="0"/>
          <w:numId w:val="1021"/>
        </w:numPr>
        <w:pStyle w:val="Compact"/>
      </w:pPr>
      <w:r>
        <w:rPr>
          <w:bCs/>
          <w:b/>
        </w:rPr>
        <w:t xml:space="preserve">Data Enhancement:</w:t>
      </w:r>
      <w:r>
        <w:t xml:space="preserve"> </w:t>
      </w:r>
      <w:r>
        <w:t xml:space="preserve">Prioritize collection of primary data from direct suppliers for more accurate Scope 3 reporting, especially for high-impact categories, in line with 2026 GHG Protocol data disaggregation requirements.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lxhnxtzveo</dc:title>
  <dc:creator/>
  <dc:description>High-detail Product Carbon Footprint (PCF) analysis for lxhnxtzveo, conducted by rmqwjmpwkz, a Senior Sustainability Consultant for gvwmqpjqez, adhering to GHG Protocol and 2026 updates.</dc:description>
  <dc:language>en</dc:language>
  <cp:keywords/>
  <dcterms:created xsi:type="dcterms:W3CDTF">2026-07-15T15:26:23Z</dcterms:created>
  <dcterms:modified xsi:type="dcterms:W3CDTF">2026-07-15T15:26:23Z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