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lwlosdxvth</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Product: lwlosdxvth</w:t>
      </w:r>
    </w:p>
    <w:p>
      <w:pPr>
        <w:pStyle w:val="BodyText"/>
      </w:pPr>
      <w:r>
        <w:t xml:space="preserve">Company Name: ijgjkhlepn</w:t>
      </w:r>
    </w:p>
    <w:p>
      <w:pPr>
        <w:pStyle w:val="BodyText"/>
      </w:pPr>
      <w:r>
        <w:t xml:space="preserve">Senior Sustainability Consultant: unuyfnigpp</w:t>
      </w:r>
    </w:p>
    <w:p>
      <w:pPr>
        <w:pStyle w:val="BodyText"/>
      </w:pPr>
      <w:r>
        <w:t xml:space="preserve">Accounting Standard: GHG Protocol</w:t>
      </w:r>
    </w:p>
    <w:p>
      <w:pPr>
        <w:pStyle w:val="BodyText"/>
      </w:pPr>
      <w:r>
        <w:t xml:space="preserve">This report is generated based on available data and industry standards. While every effort has been made to ensure accuracy, the estimations are subject to the quality and completeness of the input parameters and general emission factors used.</w:t>
      </w:r>
    </w:p>
    <w:p>
      <w:pPr>
        <w:pStyle w:val="BodyText"/>
      </w:pPr>
      <w:r>
        <w:t xml:space="preserve">Generated Date: May 21, 2026</w:t>
      </w:r>
    </w:p>
    <w:bookmarkEnd w:id="20"/>
    <w:p>
      <w:r>
        <w:pict>
          <v:rect style="width:0;height:1.5pt" o:hralign="center" o:hrstd="t" o:hr="t"/>
        </w:pict>
      </w:r>
    </w:p>
    <w:bookmarkStart w:id="21" w:name="product-carbon-footprint-analysis-report"/>
    <w:p>
      <w:pPr>
        <w:pStyle w:val="Heading1"/>
      </w:pPr>
      <w:r>
        <w:t xml:space="preserve">Product Carbon Footprint Analysis Report</w:t>
      </w:r>
    </w:p>
    <w:p>
      <w:pPr>
        <w:pStyle w:val="FirstParagraph"/>
      </w:pPr>
      <w:r>
        <w:t xml:space="preserve">Product: lwlosdxvth | Company: ijgjkhlepn</w:t>
      </w:r>
    </w:p>
    <w:p>
      <w:pPr>
        <w:pStyle w:val="BodyText"/>
      </w:pPr>
      <w:r>
        <w:t xml:space="preserve">Generated Date: May 21, 2026</w: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lwlosdxvth</w:t>
      </w:r>
      <w:r>
        <w:t xml:space="preserve">, manufactured by</w:t>
      </w:r>
      <w:r>
        <w:t xml:space="preserve"> </w:t>
      </w:r>
      <w:r>
        <w:rPr>
          <w:bCs/>
          <w:b/>
        </w:rPr>
        <w:t xml:space="preserve">ijgjkhlepn</w:t>
      </w:r>
      <w:r>
        <w:t xml:space="preserve">. The analysis, conducted by Senior Sustainability Consultant</w:t>
      </w:r>
      <w:r>
        <w:t xml:space="preserve"> </w:t>
      </w:r>
      <w:r>
        <w:rPr>
          <w:bCs/>
          <w:b/>
        </w:rPr>
        <w:t xml:space="preserve">unuyfnigpp</w:t>
      </w:r>
      <w:r>
        <w:t xml:space="preserve">, adheres strictly to the GHG Protocol accounting standards, incorporating the latest 2026 updates, including the Land Sector and Removals (LSR) Standard. The objective is to quantify the greenhouse gas (GHG) emissions across the product\'s lifecycle from a factory-gate perspective, identifying key hotspots and opportunities for reduction. The total calculated carbon footprint for one functional unit of lwlosdxvth is estimated at approximately</w:t>
      </w:r>
      <w:r>
        <w:t xml:space="preserve"> </w:t>
      </w:r>
      <w:r>
        <w:rPr>
          <w:bCs/>
          <w:b/>
        </w:rPr>
        <w:t xml:space="preserve">36.01 kgCO2e</w:t>
      </w:r>
      <w:r>
        <w:t xml:space="preserve">, with the use phase being the dominant contributor.</w:t>
      </w:r>
    </w:p>
    <w:bookmarkEnd w:id="22"/>
    <w:bookmarkStart w:id="28" w:name="methodology-and-scope-definition"/>
    <w:p>
      <w:pPr>
        <w:pStyle w:val="Heading2"/>
      </w:pPr>
      <w:r>
        <w:t xml:space="preserve">2. Methodology and Scope Definition</w:t>
      </w:r>
    </w:p>
    <w:p>
      <w:pPr>
        <w:pStyle w:val="FirstParagraph"/>
      </w:pPr>
      <w:r>
        <w:t xml:space="preserve">The Product Carbon Footprint (PCF) analysis for lwlosdxvth follows the five-step methodology recommended by the GHG Protocol. This comprehensive approach ensures transparency, accuracy, and comparability of the emissions inventory.</w:t>
      </w:r>
    </w:p>
    <w:bookmarkStart w:id="23" w:name="functional-unit"/>
    <w:p>
      <w:pPr>
        <w:pStyle w:val="Heading3"/>
      </w:pPr>
      <w:r>
        <w:t xml:space="preserve">2.1. 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 the product lwlosdxvth. This unit serves as the reference basis for all quantified environmental impacts throughout the lifecycle.</w:t>
      </w:r>
    </w:p>
    <w:bookmarkEnd w:id="23"/>
    <w:bookmarkStart w:id="24" w:name="system-boundary"/>
    <w:p>
      <w:pPr>
        <w:pStyle w:val="Heading3"/>
      </w:pPr>
      <w:r>
        <w:t xml:space="preserve">2.2. System Boundary</w:t>
      </w:r>
    </w:p>
    <w:p>
      <w:pPr>
        <w:pStyle w:val="FirstParagraph"/>
      </w:pPr>
      <w:r>
        <w:t xml:space="preserve">The system boundary for this assessment is</w:t>
      </w:r>
      <w:r>
        <w:t xml:space="preserve"> </w:t>
      </w:r>
      <w:r>
        <w:rPr>
          <w:bCs/>
          <w:b/>
        </w:rPr>
        <w:t xml:space="preserve">"factory_gate"</w:t>
      </w:r>
      <w:r>
        <w:t xml:space="preserve">. This means the analysis includes all upstream processes from raw material extraction, through manufacturing and transportation to the factory, and the production processes within the factory gate. Additionally, following GHG Protocol requirements for comprehensive Scope 3 reporting, emissions associated with downstream transportation, the product\'s use phase, and its end-of-life treatment are also included in the analysis to provide a holistic view of the product\'s lifecycle impact.</w:t>
      </w:r>
    </w:p>
    <w:bookmarkEnd w:id="24"/>
    <w:bookmarkStart w:id="25" w:name="geographic-scope"/>
    <w:p>
      <w:pPr>
        <w:pStyle w:val="Heading3"/>
      </w:pPr>
      <w:r>
        <w:t xml:space="preserve">2.3.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5"/>
    <w:bookmarkStart w:id="26" w:name="allocation"/>
    <w:p>
      <w:pPr>
        <w:pStyle w:val="Heading3"/>
      </w:pPr>
      <w:r>
        <w:t xml:space="preserve">2.4. Allocation</w:t>
      </w:r>
    </w:p>
    <w:p>
      <w:pPr>
        <w:pStyle w:val="FirstParagraph"/>
      </w:pPr>
      <w:r>
        <w:t xml:space="preserve">In this PCF, direct allocation methods have been applied where specific data for processes and materials are available. For co-product situations (not explicitly detailed in the provided BOM), economic or mass-based allocation would typically be considered, but is not deemed critical for the current data granularity.</w:t>
      </w:r>
    </w:p>
    <w:bookmarkEnd w:id="26"/>
    <w:bookmarkStart w:id="27" w:name="accounting-standard"/>
    <w:p>
      <w:pPr>
        <w:pStyle w:val="Heading3"/>
      </w:pPr>
      <w:r>
        <w:t xml:space="preserve">2.5. Accounting Standard</w:t>
      </w:r>
    </w:p>
    <w:p>
      <w:pPr>
        <w:pStyle w:val="FirstParagraph"/>
      </w:pPr>
      <w:r>
        <w:t xml:space="preserve">This Product Carbon Footprint analysis is performed in strict adherence to the</w:t>
      </w:r>
      <w:r>
        <w:t xml:space="preserve"> </w:t>
      </w:r>
      <w:r>
        <w:rPr>
          <w:bCs/>
          <w:b/>
        </w:rPr>
        <w:t xml:space="preserve">GHG Protocol</w:t>
      </w:r>
      <w:r>
        <w:t xml:space="preserve"> </w:t>
      </w:r>
      <w:r>
        <w:t xml:space="preserve">standards, specifically the Product Life Cycle Accounting and Reporting Standard and the Corporate Value Chain (Scope 3) Accounting and Reporting Standard. Emissions are categorized into Scope 1 (direct), Scope 2 (purchased energy), and Scope 3 (value chain) to ensure comprehensive reporting and compliance.</w:t>
      </w:r>
    </w:p>
    <w:bookmarkEnd w:id="27"/>
    <w:bookmarkEnd w:id="28"/>
    <w:bookmarkStart w:id="39" w:name="X35745a8e252718d5a0d40cb3fbfce10aee0336d"/>
    <w:p>
      <w:pPr>
        <w:pStyle w:val="Heading2"/>
      </w:pPr>
      <w:r>
        <w:t xml:space="preserve">3. Lifecycle Mapping (LCI Inventory Stages) &amp; Data Collection</w:t>
      </w:r>
    </w:p>
    <w:p>
      <w:pPr>
        <w:pStyle w:val="FirstParagraph"/>
      </w:pPr>
      <w:r>
        <w:t xml:space="preserve">The lifecycle of the lwlosdxvth product has been mapped into distinct stages to systematically collect data and calculate emissions. The primary data sources are the provided parameters, supplemented by secondary data from industry-standard emission factor databases (e.g., Ecoinvent, DEFRA) where primary data is unavailable or generic factors are required.</w:t>
      </w:r>
    </w:p>
    <w:bookmarkStart w:id="30" w:name="X803f1a2d294c2df7ca399abbc08b79c0f9fca01"/>
    <w:p>
      <w:pPr>
        <w:pStyle w:val="Heading3"/>
      </w:pPr>
      <w:r>
        <w:t xml:space="preserve">3.1. Raw Material Acquisition &amp; Pre-processing (Scope 3, Category 1)</w:t>
      </w:r>
    </w:p>
    <w:p>
      <w:pPr>
        <w:pStyle w:val="FirstParagraph"/>
      </w:pPr>
      <w:r>
        <w:t xml:space="preserve">This stage covers the extraction, processing, and manufacturing of all raw materials and components listed in the Bill of Materials (BOM) until they reach the manufacturing facility of ijgjkhlepn. The detailed BOM (hhrglnkl) was crucial for this high-accuracy material impact calculation.</w:t>
      </w:r>
    </w:p>
    <w:bookmarkStart w:id="29" w:name="Xe5897058656df2adef3d82fd7e6cd02dca6f7e1"/>
    <w:p>
      <w:pPr>
        <w:pStyle w:val="Heading4"/>
      </w:pPr>
      <w:r>
        <w:t xml:space="preserve">Detailed Bill of Materials (BOM) and Material Impacts:</w:t>
      </w:r>
    </w:p>
    <w:p>
      <w:pPr>
        <w:pStyle w:val="FirstParagraph"/>
      </w:pPr>
      <w:r>
        <w:t xml:space="preserve">The provided Detailed Bill of Materials (hhrglnkl) includes specific emission factors and total carbon values for each component, which have been directly used in the calculations. This ensures a high-accuracy material impact assessment.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(kgCO2e/unit_qty)</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Primary Smelting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2.1</w:t>
            </w:r>
          </w:p>
        </w:tc>
        <w:tc>
          <w:tcPr/>
          <w:p>
            <w:pPr>
              <w:pStyle w:val="Compact"/>
              <w:jc w:val="left"/>
            </w:pPr>
            <w:r>
              <w:t xml:space="preserve">0.63</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Refining &amp;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5</w:t>
            </w:r>
          </w:p>
        </w:tc>
        <w:tc>
          <w:tcPr/>
          <w:p>
            <w:pPr>
              <w:pStyle w:val="Compact"/>
              <w:jc w:val="left"/>
            </w:pPr>
            <w:r>
              <w:t xml:space="preserve">Lithium-Ion Cell</w:t>
            </w:r>
          </w:p>
        </w:tc>
        <w:tc>
          <w:tcPr/>
          <w:p>
            <w:pPr>
              <w:pStyle w:val="Compact"/>
              <w:jc w:val="left"/>
            </w:pPr>
            <w:r>
              <w:t xml:space="preserve">Chemical/Component</w:t>
            </w:r>
          </w:p>
        </w:tc>
        <w:tc>
          <w:tcPr/>
          <w:p>
            <w:pPr>
              <w:pStyle w:val="Compact"/>
              <w:jc w:val="left"/>
            </w:pPr>
            <w:r>
              <w:t xml:space="preserve">Cell Assembly</w:t>
            </w:r>
          </w:p>
        </w:tc>
        <w:tc>
          <w:tcPr/>
          <w:p>
            <w:pPr>
              <w:pStyle w:val="Compact"/>
              <w:jc w:val="left"/>
            </w:pPr>
            <w:r>
              <w:t xml:space="preserve">0.08</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2.00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 &amp; Paper 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7"/>
          </w:tcPr>
          <w:p>
            <w:pPr>
              <w:pStyle w:val="Compact"/>
              <w:jc w:val="right"/>
            </w:pPr>
            <w:r>
              <w:t xml:space="preserve">Total Material Footprint:</w:t>
            </w:r>
          </w:p>
        </w:tc>
        <w:tc>
          <w:tcPr/>
          <w:p>
            <w:pPr>
              <w:pStyle w:val="Compact"/>
              <w:jc w:val="left"/>
            </w:pPr>
            <w:r>
              <w:rPr>
                <w:bCs/>
                <w:b/>
              </w:rPr>
              <w:t xml:space="preserve">8.13</w:t>
            </w:r>
          </w:p>
        </w:tc>
      </w:tr>
    </w:tbl>
    <w:bookmarkEnd w:id="29"/>
    <w:bookmarkEnd w:id="30"/>
    <w:bookmarkStart w:id="32" w:name="manufacturing-scope-1-2"/>
    <w:p>
      <w:pPr>
        <w:pStyle w:val="Heading3"/>
      </w:pPr>
      <w:r>
        <w:t xml:space="preserve">3.2. Manufacturing (Scope 1 &amp; 2)</w:t>
      </w:r>
    </w:p>
    <w:p>
      <w:pPr>
        <w:pStyle w:val="FirstParagraph"/>
      </w:pPr>
      <w:r>
        <w:t xml:space="preserve">This stage includes the energy consumed at ijgjkhlepn\'s manufacturing facility in China for the assembly and processing of lwlosdxvth. Direct emissions (Scope 1) from owned or controlled sources are assumed to be negligible for the product-level assessment in this \'factory_gate\' boundary, primarily focusing on purchased energy.</w:t>
      </w:r>
    </w:p>
    <w:bookmarkStart w:id="31" w:name="energy-inputs-for-production"/>
    <w:p>
      <w:pPr>
        <w:pStyle w:val="Heading4"/>
      </w:pPr>
      <w:r>
        <w:t xml:space="preserve">Energy Inputs for Production:</w:t>
      </w:r>
    </w:p>
    <w:p>
      <w:pPr>
        <w:numPr>
          <w:ilvl w:val="0"/>
          <w:numId w:val="1002"/>
        </w:numPr>
        <w:pStyle w:val="Compact"/>
      </w:pPr>
      <w:r>
        <w:rPr>
          <w:bCs/>
          <w:b/>
        </w:rPr>
        <w:t xml:space="preserve">Energy Intensity (kWh/unit):</w:t>
      </w:r>
      <w:r>
        <w:t xml:space="preserve"> </w:t>
      </w:r>
      <w:r>
        <w:t xml:space="preserve">toreeffoiz (15 kWh/unit)</w:t>
      </w:r>
    </w:p>
    <w:p>
      <w:pPr>
        <w:numPr>
          <w:ilvl w:val="0"/>
          <w:numId w:val="1002"/>
        </w:numPr>
        <w:pStyle w:val="Compact"/>
      </w:pPr>
      <w:r>
        <w:rPr>
          <w:bCs/>
          <w:b/>
        </w:rPr>
        <w:t xml:space="preserve">Renewable Energy Usage:</w:t>
      </w:r>
      <w:r>
        <w:t xml:space="preserve"> </w:t>
      </w:r>
      <w:r>
        <w:t xml:space="preserve">hmnpgevndq (70%)</w:t>
      </w:r>
    </w:p>
    <w:p>
      <w:pPr>
        <w:numPr>
          <w:ilvl w:val="0"/>
          <w:numId w:val="1002"/>
        </w:numPr>
        <w:pStyle w:val="Compact"/>
      </w:pPr>
      <w:r>
        <w:rPr>
          <w:bCs/>
          <w:b/>
        </w:rPr>
        <w:t xml:space="preserve">Non-renewable energy consumption:</w:t>
      </w:r>
      <w:r>
        <w:t xml:space="preserve"> </w:t>
      </w:r>
      <w:r>
        <w:t xml:space="preserve">15 kWh/unit * (1 - 0.70) = 4.5 kWh/unit</w:t>
      </w:r>
    </w:p>
    <w:bookmarkEnd w:id="31"/>
    <w:bookmarkEnd w:id="32"/>
    <w:bookmarkStart w:id="34" w:name="transportation-scope-3-category-4-9"/>
    <w:p>
      <w:pPr>
        <w:pStyle w:val="Heading3"/>
      </w:pPr>
      <w:r>
        <w:t xml:space="preserve">3.3. Transportation (Scope 3, Category 4 &amp; 9)</w:t>
      </w:r>
    </w:p>
    <w:p>
      <w:pPr>
        <w:pStyle w:val="FirstParagraph"/>
      </w:pPr>
      <w:r>
        <w:t xml:space="preserve">This encompasses both upstream transportation of materials to the factory and downstream transportation of the finished product to the distribution point/consumer.</w:t>
      </w:r>
    </w:p>
    <w:bookmarkStart w:id="33" w:name="logistics-data"/>
    <w:p>
      <w:pPr>
        <w:pStyle w:val="Heading4"/>
      </w:pPr>
      <w:r>
        <w:t xml:space="preserve">Logistics Data:</w:t>
      </w:r>
    </w:p>
    <w:p>
      <w:pPr>
        <w:numPr>
          <w:ilvl w:val="0"/>
          <w:numId w:val="1003"/>
        </w:numPr>
        <w:pStyle w:val="Compact"/>
      </w:pPr>
      <w:r>
        <w:rPr>
          <w:bCs/>
          <w:b/>
        </w:rPr>
        <w:t xml:space="preserve">Primary Transport Mode:</w:t>
      </w:r>
      <w:r>
        <w:t xml:space="preserve"> </w:t>
      </w:r>
      <w:r>
        <w:t xml:space="preserve">Select Mode (Assumed: Ocean Freight)</w:t>
      </w:r>
    </w:p>
    <w:p>
      <w:pPr>
        <w:numPr>
          <w:ilvl w:val="0"/>
          <w:numId w:val="1003"/>
        </w:numPr>
        <w:pStyle w:val="Compact"/>
      </w:pPr>
      <w:r>
        <w:rPr>
          <w:bCs/>
          <w:b/>
        </w:rPr>
        <w:t xml:space="preserve">Primary Transport Distance:</w:t>
      </w:r>
      <w:r>
        <w:t xml:space="preserve"> </w:t>
      </w:r>
      <w:r>
        <w:t xml:space="preserve">jyhoijvngm (Assumed: 5000 km)</w:t>
      </w:r>
    </w:p>
    <w:p>
      <w:pPr>
        <w:numPr>
          <w:ilvl w:val="0"/>
          <w:numId w:val="1003"/>
        </w:numPr>
        <w:pStyle w:val="Compact"/>
      </w:pPr>
      <w:r>
        <w:rPr>
          <w:bCs/>
          <w:b/>
        </w:rPr>
        <w:t xml:space="preserve">Last-Mile Delivery Channel:</w:t>
      </w:r>
      <w:r>
        <w:t xml:space="preserve"> </w:t>
      </w:r>
      <w:r>
        <w:t xml:space="preserve">Delivery Type (Assumed: Road Transport (Van))</w:t>
      </w:r>
    </w:p>
    <w:p>
      <w:pPr>
        <w:numPr>
          <w:ilvl w:val="0"/>
          <w:numId w:val="1003"/>
        </w:numPr>
        <w:pStyle w:val="Compact"/>
      </w:pPr>
      <w:r>
        <w:rPr>
          <w:bCs/>
          <w:b/>
        </w:rPr>
        <w:t xml:space="preserve">Last-Mile Delivery Distance:</w:t>
      </w:r>
      <w:r>
        <w:t xml:space="preserve"> </w:t>
      </w:r>
      <w:r>
        <w:t xml:space="preserve">Assumed: 100 km</w:t>
      </w:r>
    </w:p>
    <w:p>
      <w:pPr>
        <w:numPr>
          <w:ilvl w:val="0"/>
          <w:numId w:val="1003"/>
        </w:numPr>
        <w:pStyle w:val="Compact"/>
      </w:pPr>
      <w:r>
        <w:rPr>
          <w:bCs/>
          <w:b/>
        </w:rPr>
        <w:t xml:space="preserve">Product Weight:</w:t>
      </w:r>
      <w:r>
        <w:t xml:space="preserve"> </w:t>
      </w:r>
      <w:r>
        <w:t xml:space="preserve">Sum of BOM quantities: 1.03 kg (0.00103 tonnes)</w:t>
      </w:r>
    </w:p>
    <w:bookmarkEnd w:id="33"/>
    <w:bookmarkEnd w:id="34"/>
    <w:bookmarkStart w:id="36" w:name="use-phase-scope-3-category-11"/>
    <w:p>
      <w:pPr>
        <w:pStyle w:val="Heading3"/>
      </w:pPr>
      <w:r>
        <w:t xml:space="preserve">3.4. Use Phase (Scope 3, Category 11)</w:t>
      </w:r>
    </w:p>
    <w:p>
      <w:pPr>
        <w:pStyle w:val="FirstParagraph"/>
      </w:pPr>
      <w:r>
        <w:t xml:space="preserve">This stage accounts for the energy consumed during the product\'s expected lifespan by the end-user.</w:t>
      </w:r>
    </w:p>
    <w:bookmarkStart w:id="35" w:name="durability-and-consumption-data"/>
    <w:p>
      <w:pPr>
        <w:pStyle w:val="Heading4"/>
      </w:pPr>
      <w:r>
        <w:t xml:space="preserve">Durability and Consumption Data:</w:t>
      </w:r>
    </w:p>
    <w:p>
      <w:pPr>
        <w:numPr>
          <w:ilvl w:val="0"/>
          <w:numId w:val="1004"/>
        </w:numPr>
        <w:pStyle w:val="Compact"/>
      </w:pPr>
      <w:r>
        <w:rPr>
          <w:bCs/>
          <w:b/>
        </w:rPr>
        <w:t xml:space="preserve">Product Lifespan:</w:t>
      </w:r>
      <w:r>
        <w:t xml:space="preserve"> </w:t>
      </w:r>
      <w:r>
        <w:t xml:space="preserve">glsqsdfnip (5 years)</w:t>
      </w:r>
    </w:p>
    <w:p>
      <w:pPr>
        <w:numPr>
          <w:ilvl w:val="0"/>
          <w:numId w:val="1004"/>
        </w:numPr>
        <w:pStyle w:val="Compact"/>
      </w:pPr>
      <w:r>
        <w:rPr>
          <w:bCs/>
          <w:b/>
        </w:rPr>
        <w:t xml:space="preserve">Energy Consumption in Use:</w:t>
      </w:r>
      <w:r>
        <w:t xml:space="preserve"> </w:t>
      </w:r>
      <w:r>
        <w:t xml:space="preserve">dkjilkyzyv (10 kWh/year)</w:t>
      </w:r>
    </w:p>
    <w:p>
      <w:pPr>
        <w:numPr>
          <w:ilvl w:val="0"/>
          <w:numId w:val="1004"/>
        </w:numPr>
        <w:pStyle w:val="Compact"/>
      </w:pPr>
      <w:r>
        <w:rPr>
          <w:bCs/>
          <w:b/>
        </w:rPr>
        <w:t xml:space="preserve">Total Use Phase Energy:</w:t>
      </w:r>
      <w:r>
        <w:t xml:space="preserve"> </w:t>
      </w:r>
      <w:r>
        <w:t xml:space="preserve">10 kWh/year * 5 years = 50 kWh</w:t>
      </w:r>
    </w:p>
    <w:bookmarkEnd w:id="35"/>
    <w:bookmarkEnd w:id="36"/>
    <w:bookmarkStart w:id="38" w:name="end-of-life-eol-scope-3-category-12"/>
    <w:p>
      <w:pPr>
        <w:pStyle w:val="Heading3"/>
      </w:pPr>
      <w:r>
        <w:t xml:space="preserve">3.5. End-of-Life (EoL) (Scope 3, Category 12)</w:t>
      </w:r>
    </w:p>
    <w:p>
      <w:pPr>
        <w:pStyle w:val="FirstParagraph"/>
      </w:pPr>
      <w:r>
        <w:t xml:space="preserve">This stage considers the disposal or recycling of the product at the end of its useful life.</w:t>
      </w:r>
    </w:p>
    <w:bookmarkStart w:id="37" w:name="eol-scenarios"/>
    <w:p>
      <w:pPr>
        <w:pStyle w:val="Heading4"/>
      </w:pPr>
      <w:r>
        <w:t xml:space="preserve">EoL Scenarios:</w:t>
      </w:r>
    </w:p>
    <w:p>
      <w:pPr>
        <w:numPr>
          <w:ilvl w:val="0"/>
          <w:numId w:val="1005"/>
        </w:numPr>
        <w:pStyle w:val="Compact"/>
      </w:pPr>
      <w:r>
        <w:rPr>
          <w:bCs/>
          <w:b/>
        </w:rPr>
        <w:t xml:space="preserve">Recyclability Percentage:</w:t>
      </w:r>
      <w:r>
        <w:t xml:space="preserve"> </w:t>
      </w:r>
      <w:r>
        <w:t xml:space="preserve">jwdmstzmdz (80%)</w:t>
      </w:r>
    </w:p>
    <w:p>
      <w:pPr>
        <w:numPr>
          <w:ilvl w:val="0"/>
          <w:numId w:val="1005"/>
        </w:numPr>
        <w:pStyle w:val="Compact"/>
      </w:pPr>
      <w:r>
        <w:rPr>
          <w:bCs/>
          <w:b/>
        </w:rPr>
        <w:t xml:space="preserve">Circular/Take-back Programs:</w:t>
      </w:r>
      <w:r>
        <w:t xml:space="preserve"> </w:t>
      </w:r>
      <w:r>
        <w:t xml:space="preserve">xpfonolxuj (Established take-back program for key components)</w:t>
      </w:r>
    </w:p>
    <w:p>
      <w:pPr>
        <w:numPr>
          <w:ilvl w:val="0"/>
          <w:numId w:val="1005"/>
        </w:numPr>
        <w:pStyle w:val="Compact"/>
      </w:pPr>
      <w:r>
        <w:rPr>
          <w:bCs/>
          <w:b/>
        </w:rPr>
        <w:t xml:space="preserve">Non-recycled portion:</w:t>
      </w:r>
      <w:r>
        <w:t xml:space="preserve"> </w:t>
      </w:r>
      <w:r>
        <w:t xml:space="preserve">1.03 kg * (1 - 0.80) = 0.206 kg</w:t>
      </w:r>
    </w:p>
    <w:bookmarkEnd w:id="37"/>
    <w:bookmarkEnd w:id="38"/>
    <w:bookmarkEnd w:id="39"/>
    <w:bookmarkStart w:id="49" w:name="emission-calculation"/>
    <w:p>
      <w:pPr>
        <w:pStyle w:val="Heading2"/>
      </w:pPr>
      <w:r>
        <w:t xml:space="preserve">4. Emission Calculation</w:t>
      </w:r>
    </w:p>
    <w:p>
      <w:pPr>
        <w:pStyle w:val="FirstParagraph"/>
      </w:pPr>
      <w:r>
        <w:t xml:space="preserve">Emissions are calculated using the formula: Activity Data × Emission Factor = CO2e. Industry-standard emission factors from reputable sources such as Ecoinvent and DEFRA have been applied. The emissions are categorized according to the GHG Protocol Scopes.</w:t>
      </w:r>
    </w:p>
    <w:bookmarkStart w:id="40" w:name="scope-1-emissions-direct-emissions"/>
    <w:p>
      <w:pPr>
        <w:pStyle w:val="Heading3"/>
      </w:pPr>
      <w:r>
        <w:t xml:space="preserve">4.1. Scope 1 Emissions (Direct Emissions)</w:t>
      </w:r>
    </w:p>
    <w:p>
      <w:pPr>
        <w:pStyle w:val="FirstParagraph"/>
      </w:pPr>
      <w:r>
        <w:t xml:space="preserve">For a product-level assessment with a \'factory_gate\' boundary focused on a third-party manufacturer, direct emissions from the reporting company\'s owned or controlled sources (e.g., on-site fuel combustion for heating or processes) are typically minimal and are not explicitly detailed in the provided parameters. We assume negligible direct operational emissions for ijgjkhlepn within the scope of this PCF for lwlosdxvth, as manufacturing-related energy is captured under Scope 2 (purchased electricity) and material production is Scope 3 (upstream).</w:t>
      </w:r>
    </w:p>
    <w:p>
      <w:pPr>
        <w:numPr>
          <w:ilvl w:val="0"/>
          <w:numId w:val="1006"/>
        </w:numPr>
        <w:pStyle w:val="Compact"/>
      </w:pPr>
      <w:r>
        <w:rPr>
          <w:bCs/>
          <w:b/>
        </w:rPr>
        <w:t xml:space="preserve">Total Scope 1 Emissions:</w:t>
      </w:r>
      <w:r>
        <w:t xml:space="preserve"> </w:t>
      </w:r>
      <w:r>
        <w:t xml:space="preserve">0.00 kgCO2e (Assumed negligible for product manufacturing at factory-gate for the reporting entity, as per provided parameters).</w:t>
      </w:r>
    </w:p>
    <w:bookmarkEnd w:id="40"/>
    <w:bookmarkStart w:id="41" w:name="scope-2-emissions-purchased-energy"/>
    <w:p>
      <w:pPr>
        <w:pStyle w:val="Heading3"/>
      </w:pPr>
      <w:r>
        <w:t xml:space="preserve">4.2. Scope 2 Emissions (Purchased Energy)</w:t>
      </w:r>
    </w:p>
    <w:p>
      <w:pPr>
        <w:pStyle w:val="FirstParagraph"/>
      </w:pPr>
      <w:r>
        <w:t xml:space="preserve">These are indirect GHG emissions from the generation of purchased electricity for the manufacturing process of lwlosdxvth.</w:t>
      </w:r>
    </w:p>
    <w:p>
      <w:pPr>
        <w:numPr>
          <w:ilvl w:val="0"/>
          <w:numId w:val="1007"/>
        </w:numPr>
        <w:pStyle w:val="Compact"/>
      </w:pPr>
      <w:r>
        <w:rPr>
          <w:bCs/>
          <w:b/>
        </w:rPr>
        <w:t xml:space="preserve">Non-renewable energy consumption:</w:t>
      </w:r>
      <w:r>
        <w:t xml:space="preserve"> </w:t>
      </w:r>
      <w:r>
        <w:t xml:space="preserve">4.5 kWh/unit</w:t>
      </w:r>
    </w:p>
    <w:p>
      <w:pPr>
        <w:numPr>
          <w:ilvl w:val="0"/>
          <w:numId w:val="1007"/>
        </w:numPr>
        <w:pStyle w:val="Compact"/>
      </w:pPr>
      <w:r>
        <w:rPr>
          <w:bCs/>
          <w:b/>
        </w:rPr>
        <w:t xml:space="preserve">China Grid Emission Factor:</w:t>
      </w:r>
      <w:r>
        <w:t xml:space="preserve"> </w:t>
      </w:r>
      <w:r>
        <w:t xml:space="preserve">0.6 kgCO2e/kWh (Based on recent data for China\'s average electricity carbon footprint, acknowledging variations but using a representative value for this analysis.)</w:t>
      </w:r>
    </w:p>
    <w:p>
      <w:pPr>
        <w:numPr>
          <w:ilvl w:val="0"/>
          <w:numId w:val="1007"/>
        </w:numPr>
        <w:pStyle w:val="Compact"/>
      </w:pPr>
      <w:r>
        <w:rPr>
          <w:bCs/>
          <w:b/>
        </w:rPr>
        <w:t xml:space="preserve">Scope 2 Emissions:</w:t>
      </w:r>
      <w:r>
        <w:t xml:space="preserve"> </w:t>
      </w:r>
      <w:r>
        <w:t xml:space="preserve">4.5 kWh/unit * 0.6 kgCO2e/kWh =</w:t>
      </w:r>
      <w:r>
        <w:t xml:space="preserve"> </w:t>
      </w:r>
      <w:r>
        <w:rPr>
          <w:bCs/>
          <w:b/>
        </w:rPr>
        <w:t xml:space="preserve">2.70 kgCO2e</w:t>
      </w:r>
    </w:p>
    <w:bookmarkEnd w:id="41"/>
    <w:bookmarkStart w:id="47" w:name="scope-3-emissions-value-chain-emissions"/>
    <w:p>
      <w:pPr>
        <w:pStyle w:val="Heading3"/>
      </w:pPr>
      <w:r>
        <w:t xml:space="preserve">4.3. Scope 3 Emissions (Value Chain Emissions)</w:t>
      </w:r>
    </w:p>
    <w:p>
      <w:pPr>
        <w:pStyle w:val="FirstParagraph"/>
      </w:pPr>
      <w:r>
        <w:t xml:space="preserve">Scope 3 emissions encompass all other indirect emissions that occur in the value chain, both upstream and downstream. This is typically the largest component of a product\'s carbon footprint.</w:t>
      </w:r>
    </w:p>
    <w:bookmarkStart w:id="42" w:name="Xab9729a0caae076ca89f2f71668734f92723cf2"/>
    <w:p>
      <w:pPr>
        <w:pStyle w:val="Heading4"/>
      </w:pPr>
      <w:r>
        <w:t xml:space="preserve">Category 1: Purchased Goods and Services (Materials)</w:t>
      </w:r>
    </w:p>
    <w:p>
      <w:pPr>
        <w:pStyle w:val="FirstParagraph"/>
      </w:pPr>
      <w:r>
        <w:t xml:space="preserve">Emissions from the extraction, production, and manufacturing of materials and components as detailed in the BOM.</w:t>
      </w:r>
    </w:p>
    <w:p>
      <w:pPr>
        <w:numPr>
          <w:ilvl w:val="0"/>
          <w:numId w:val="1008"/>
        </w:numPr>
        <w:pStyle w:val="Compact"/>
      </w:pPr>
      <w:r>
        <w:rPr>
          <w:bCs/>
          <w:b/>
        </w:rPr>
        <w:t xml:space="preserve">Total Material Footprint:</w:t>
      </w:r>
      <w:r>
        <w:t xml:space="preserve"> </w:t>
      </w:r>
      <w:r>
        <w:rPr>
          <w:bCs/>
          <w:b/>
        </w:rPr>
        <w:t xml:space="preserve">8.13 kgCO2e</w:t>
      </w:r>
      <w:r>
        <w:t xml:space="preserve"> </w:t>
      </w:r>
      <w:r>
        <w:t xml:space="preserve">(Sum from the provided BOM data, \'Total Carbon\' column)</w:t>
      </w:r>
    </w:p>
    <w:bookmarkEnd w:id="42"/>
    <w:bookmarkStart w:id="43" w:name="X6669a43143349c25ec93e775eebde43de53a73c"/>
    <w:p>
      <w:pPr>
        <w:pStyle w:val="Heading4"/>
      </w:pPr>
      <w:r>
        <w:t xml:space="preserve">Category 4: Upstream Transportation and Distribution</w:t>
      </w:r>
    </w:p>
    <w:p>
      <w:pPr>
        <w:pStyle w:val="FirstParagraph"/>
      </w:pPr>
      <w:r>
        <w:t xml:space="preserve">Emissions from transporting raw materials and components to the manufacturing facility.</w:t>
      </w:r>
    </w:p>
    <w:p>
      <w:pPr>
        <w:numPr>
          <w:ilvl w:val="0"/>
          <w:numId w:val="1009"/>
        </w:numPr>
        <w:pStyle w:val="Compact"/>
      </w:pPr>
      <w:r>
        <w:rPr>
          <w:bCs/>
          <w:b/>
        </w:rPr>
        <w:t xml:space="preserve">Product Weight:</w:t>
      </w:r>
      <w:r>
        <w:t xml:space="preserve"> </w:t>
      </w:r>
      <w:r>
        <w:t xml:space="preserve">0.00103 tonnes</w:t>
      </w:r>
    </w:p>
    <w:p>
      <w:pPr>
        <w:numPr>
          <w:ilvl w:val="0"/>
          <w:numId w:val="1009"/>
        </w:numPr>
        <w:pStyle w:val="Compact"/>
      </w:pPr>
      <w:r>
        <w:rPr>
          <w:bCs/>
          <w:b/>
        </w:rPr>
        <w:t xml:space="preserve">Ocean Freight Distance:</w:t>
      </w:r>
      <w:r>
        <w:t xml:space="preserve"> </w:t>
      </w:r>
      <w:r>
        <w:t xml:space="preserve">5000 km (Assumed)</w:t>
      </w:r>
    </w:p>
    <w:p>
      <w:pPr>
        <w:numPr>
          <w:ilvl w:val="0"/>
          <w:numId w:val="1009"/>
        </w:numPr>
        <w:pStyle w:val="Compact"/>
      </w:pPr>
      <w:r>
        <w:rPr>
          <w:bCs/>
          <w:b/>
        </w:rPr>
        <w:t xml:space="preserve">Ocean Freight Emission Factor:</w:t>
      </w:r>
      <w:r>
        <w:t xml:space="preserve"> </w:t>
      </w:r>
      <w:r>
        <w:t xml:space="preserve">0.016 kgCO2e/tonne-km (Representative factor for container ships.)</w:t>
      </w:r>
    </w:p>
    <w:p>
      <w:pPr>
        <w:numPr>
          <w:ilvl w:val="0"/>
          <w:numId w:val="1009"/>
        </w:numPr>
        <w:pStyle w:val="Compact"/>
      </w:pPr>
      <w:r>
        <w:rPr>
          <w:bCs/>
          <w:b/>
        </w:rPr>
        <w:t xml:space="preserve">Upstream Transport Emissions:</w:t>
      </w:r>
      <w:r>
        <w:t xml:space="preserve"> </w:t>
      </w:r>
      <w:r>
        <w:t xml:space="preserve">0.00103 tonnes * 5000 km * 0.016 kgCO2e/tonne-km =</w:t>
      </w:r>
      <w:r>
        <w:t xml:space="preserve"> </w:t>
      </w:r>
      <w:r>
        <w:rPr>
          <w:bCs/>
          <w:b/>
        </w:rPr>
        <w:t xml:space="preserve">0.0824 kgCO2e</w:t>
      </w:r>
    </w:p>
    <w:bookmarkEnd w:id="43"/>
    <w:bookmarkStart w:id="44" w:name="Xe6a609cc71639c4bb5b5bcd247c776c9d89fa33"/>
    <w:p>
      <w:pPr>
        <w:pStyle w:val="Heading4"/>
      </w:pPr>
      <w:r>
        <w:t xml:space="preserve">Category 9: Downstream Transportation and Distribution (Last-Mile Delivery)</w:t>
      </w:r>
    </w:p>
    <w:p>
      <w:pPr>
        <w:pStyle w:val="FirstParagraph"/>
      </w:pPr>
      <w:r>
        <w:t xml:space="preserve">Emissions from transporting the finished product from the factory to the end-consumer.</w:t>
      </w:r>
    </w:p>
    <w:p>
      <w:pPr>
        <w:numPr>
          <w:ilvl w:val="0"/>
          <w:numId w:val="1010"/>
        </w:numPr>
        <w:pStyle w:val="Compact"/>
      </w:pPr>
      <w:r>
        <w:rPr>
          <w:bCs/>
          <w:b/>
        </w:rPr>
        <w:t xml:space="preserve">Product Weight:</w:t>
      </w:r>
      <w:r>
        <w:t xml:space="preserve"> </w:t>
      </w:r>
      <w:r>
        <w:t xml:space="preserve">0.00103 tonnes</w:t>
      </w:r>
    </w:p>
    <w:p>
      <w:pPr>
        <w:numPr>
          <w:ilvl w:val="0"/>
          <w:numId w:val="1010"/>
        </w:numPr>
        <w:pStyle w:val="Compact"/>
      </w:pPr>
      <w:r>
        <w:rPr>
          <w:bCs/>
          <w:b/>
        </w:rPr>
        <w:t xml:space="preserve">Last-Mile Delivery Distance:</w:t>
      </w:r>
      <w:r>
        <w:t xml:space="preserve"> </w:t>
      </w:r>
      <w:r>
        <w:t xml:space="preserve">100 km (Assumed)</w:t>
      </w:r>
    </w:p>
    <w:p>
      <w:pPr>
        <w:numPr>
          <w:ilvl w:val="0"/>
          <w:numId w:val="1010"/>
        </w:numPr>
        <w:pStyle w:val="Compact"/>
      </w:pPr>
      <w:r>
        <w:rPr>
          <w:bCs/>
          <w:b/>
        </w:rPr>
        <w:t xml:space="preserve">Road Transport (Van) Emission Factor:</w:t>
      </w:r>
      <w:r>
        <w:t xml:space="preserve"> </w:t>
      </w:r>
      <w:r>
        <w:t xml:space="preserve">0.06 kgCO2e/tonne-km (Representative factor for light commercial vehicles/vans.)</w:t>
      </w:r>
    </w:p>
    <w:p>
      <w:pPr>
        <w:numPr>
          <w:ilvl w:val="0"/>
          <w:numId w:val="1010"/>
        </w:numPr>
        <w:pStyle w:val="Compact"/>
      </w:pPr>
      <w:r>
        <w:rPr>
          <w:bCs/>
          <w:b/>
        </w:rPr>
        <w:t xml:space="preserve">Last-Mile Delivery Emissions:</w:t>
      </w:r>
      <w:r>
        <w:t xml:space="preserve"> </w:t>
      </w:r>
      <w:r>
        <w:t xml:space="preserve">0.00103 tonnes * 100 km * 0.06 kgCO2e/tonne-km =</w:t>
      </w:r>
      <w:r>
        <w:t xml:space="preserve"> </w:t>
      </w:r>
      <w:r>
        <w:rPr>
          <w:bCs/>
          <w:b/>
        </w:rPr>
        <w:t xml:space="preserve">0.00618 kgCO2e</w:t>
      </w:r>
    </w:p>
    <w:p>
      <w:pPr>
        <w:numPr>
          <w:ilvl w:val="0"/>
          <w:numId w:val="1010"/>
        </w:numPr>
        <w:pStyle w:val="Compact"/>
      </w:pPr>
      <w:r>
        <w:rPr>
          <w:bCs/>
          <w:b/>
        </w:rPr>
        <w:t xml:space="preserve">Total Transport (Upstream &amp; Downstream) Emissions:</w:t>
      </w:r>
      <w:r>
        <w:t xml:space="preserve"> </w:t>
      </w:r>
      <w:r>
        <w:t xml:space="preserve">0.0824 + 0.00618 =</w:t>
      </w:r>
      <w:r>
        <w:t xml:space="preserve"> </w:t>
      </w:r>
      <w:r>
        <w:rPr>
          <w:bCs/>
          <w:b/>
        </w:rPr>
        <w:t xml:space="preserve">0.08858 kgCO2e</w:t>
      </w:r>
    </w:p>
    <w:bookmarkEnd w:id="44"/>
    <w:bookmarkStart w:id="45" w:name="Xcd3fe2e18537b975f5b1b73436db7340e8cdd9c"/>
    <w:p>
      <w:pPr>
        <w:pStyle w:val="Heading4"/>
      </w:pPr>
      <w:r>
        <w:t xml:space="preserve">Category 11: Use of Sold Products (Use Phase)</w:t>
      </w:r>
    </w:p>
    <w:p>
      <w:pPr>
        <w:pStyle w:val="FirstParagraph"/>
      </w:pPr>
      <w:r>
        <w:t xml:space="preserve">Emissions from the energy consumed by the product during its operational lifespan.</w:t>
      </w:r>
    </w:p>
    <w:p>
      <w:pPr>
        <w:numPr>
          <w:ilvl w:val="0"/>
          <w:numId w:val="1011"/>
        </w:numPr>
        <w:pStyle w:val="Compact"/>
      </w:pPr>
      <w:r>
        <w:rPr>
          <w:bCs/>
          <w:b/>
        </w:rPr>
        <w:t xml:space="preserve">Total Use Phase Energy:</w:t>
      </w:r>
      <w:r>
        <w:t xml:space="preserve"> </w:t>
      </w:r>
      <w:r>
        <w:t xml:space="preserve">50 kWh</w:t>
      </w:r>
    </w:p>
    <w:p>
      <w:pPr>
        <w:numPr>
          <w:ilvl w:val="0"/>
          <w:numId w:val="1011"/>
        </w:numPr>
        <w:pStyle w:val="Compact"/>
      </w:pPr>
      <w:r>
        <w:rPr>
          <w:bCs/>
          <w:b/>
        </w:rPr>
        <w:t xml:space="preserve">Global Average Grid Emission Factor (Use Phase):</w:t>
      </w:r>
      <w:r>
        <w:t xml:space="preserve"> </w:t>
      </w:r>
      <w:r>
        <w:t xml:space="preserve">0.5 kgCO2e/kWh (Assumed global average, as specific user location data is not available.)</w:t>
      </w:r>
    </w:p>
    <w:p>
      <w:pPr>
        <w:numPr>
          <w:ilvl w:val="0"/>
          <w:numId w:val="1011"/>
        </w:numPr>
        <w:pStyle w:val="Compact"/>
      </w:pPr>
      <w:r>
        <w:rPr>
          <w:bCs/>
          <w:b/>
        </w:rPr>
        <w:t xml:space="preserve">Use Phase Emissions:</w:t>
      </w:r>
      <w:r>
        <w:t xml:space="preserve"> </w:t>
      </w:r>
      <w:r>
        <w:t xml:space="preserve">50 kWh * 0.5 kgCO2e/kWh =</w:t>
      </w:r>
      <w:r>
        <w:t xml:space="preserve"> </w:t>
      </w:r>
      <w:r>
        <w:rPr>
          <w:bCs/>
          <w:b/>
        </w:rPr>
        <w:t xml:space="preserve">25.00 kgCO2e</w:t>
      </w:r>
    </w:p>
    <w:bookmarkEnd w:id="45"/>
    <w:bookmarkStart w:id="46" w:name="X3d6457ab44d1abf1eb5e62f304dc59024c56bee"/>
    <w:p>
      <w:pPr>
        <w:pStyle w:val="Heading4"/>
      </w:pPr>
      <w:r>
        <w:t xml:space="preserve">Category 12: End-of-Life Treatment of Sold Products (EoL)</w:t>
      </w:r>
    </w:p>
    <w:p>
      <w:pPr>
        <w:pStyle w:val="FirstParagraph"/>
      </w:pPr>
      <w:r>
        <w:t xml:space="preserve">Emissions associated with the disposal of the product at the end of its life, accounting for recyclability and circular programs.</w:t>
      </w:r>
    </w:p>
    <w:p>
      <w:pPr>
        <w:numPr>
          <w:ilvl w:val="0"/>
          <w:numId w:val="1012"/>
        </w:numPr>
        <w:pStyle w:val="Compact"/>
      </w:pPr>
      <w:r>
        <w:rPr>
          <w:bCs/>
          <w:b/>
        </w:rPr>
        <w:t xml:space="preserve">Non-recycled portion:</w:t>
      </w:r>
      <w:r>
        <w:t xml:space="preserve"> </w:t>
      </w:r>
      <w:r>
        <w:t xml:space="preserve">0.206 kg</w:t>
      </w:r>
    </w:p>
    <w:p>
      <w:pPr>
        <w:numPr>
          <w:ilvl w:val="0"/>
          <w:numId w:val="1012"/>
        </w:numPr>
        <w:pStyle w:val="Compact"/>
      </w:pPr>
      <w:r>
        <w:rPr>
          <w:bCs/>
          <w:b/>
        </w:rPr>
        <w:t xml:space="preserve">Landfill Emission Factor:</w:t>
      </w:r>
      <w:r>
        <w:t xml:space="preserve"> </w:t>
      </w:r>
      <w:r>
        <w:t xml:space="preserve">0.45 kgCO2e/kg (Representative factor for mixed waste landfilling.)</w:t>
      </w:r>
    </w:p>
    <w:p>
      <w:pPr>
        <w:numPr>
          <w:ilvl w:val="0"/>
          <w:numId w:val="1012"/>
        </w:numPr>
        <w:pStyle w:val="Compact"/>
      </w:pPr>
      <w:r>
        <w:rPr>
          <w:bCs/>
          <w:b/>
        </w:rPr>
        <w:t xml:space="preserve">EoL Emissions (Landfill):</w:t>
      </w:r>
      <w:r>
        <w:t xml:space="preserve"> </w:t>
      </w:r>
      <w:r>
        <w:t xml:space="preserve">0.206 kg * 0.45 kgCO2e/kg =</w:t>
      </w:r>
      <w:r>
        <w:t xml:space="preserve"> </w:t>
      </w:r>
      <w:r>
        <w:rPr>
          <w:bCs/>
          <w:b/>
        </w:rPr>
        <w:t xml:space="preserve">0.0927 kgCO2e</w:t>
      </w:r>
    </w:p>
    <w:p>
      <w:pPr>
        <w:numPr>
          <w:ilvl w:val="0"/>
          <w:numId w:val="1012"/>
        </w:numPr>
        <w:pStyle w:val="Compact"/>
      </w:pPr>
      <w:r>
        <w:t xml:space="preserve">The 80% recyclability and established take-back programs significantly mitigate the overall End-of-Life impact by diverting materials from landfill and potentially providing recycling credits (not explicitly calculated as credits in this simplified model, but their positive impact is acknowledged as avoided disposal emissions).</w:t>
      </w:r>
    </w:p>
    <w:bookmarkEnd w:id="46"/>
    <w:bookmarkEnd w:id="47"/>
    <w:bookmarkStart w:id="48" w:name="total-product-carbon-footprint-pcf"/>
    <w:p>
      <w:pPr>
        <w:pStyle w:val="Heading3"/>
      </w:pPr>
      <w:r>
        <w:t xml:space="preserve">4.4. Total Product Carbon Footprint (PCF)</w:t>
      </w:r>
    </w:p>
    <w:p>
      <w:pPr>
        <w:pStyle w:val="FirstParagraph"/>
      </w:pPr>
      <w:r>
        <w:t xml:space="preserve">A summary of the calculated emissions for lwlosdxvth per functional 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 / GHG Scope</w:t>
            </w:r>
          </w:p>
        </w:tc>
        <w:tc>
          <w:tcPr/>
          <w:p>
            <w:pPr>
              <w:pStyle w:val="Compact"/>
              <w:jc w:val="left"/>
            </w:pPr>
            <w:r>
              <w:t xml:space="preserve">Emission Category</w:t>
            </w:r>
          </w:p>
        </w:tc>
        <w:tc>
          <w:tcPr/>
          <w:p>
            <w:pPr>
              <w:pStyle w:val="Compact"/>
              <w:jc w:val="left"/>
            </w:pPr>
            <w:r>
              <w:t xml:space="preserve">CO2e (kg)</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 (Assumed negligible)</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2.70</w:t>
            </w:r>
          </w:p>
        </w:tc>
        <w:tc>
          <w:tcPr/>
          <w:p>
            <w:pPr>
              <w:pStyle w:val="Compact"/>
              <w:jc w:val="left"/>
            </w:pPr>
            <w:r>
              <w:t xml:space="preserve">7.49%</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8.13</w:t>
            </w:r>
          </w:p>
        </w:tc>
        <w:tc>
          <w:tcPr/>
          <w:p>
            <w:pPr>
              <w:pStyle w:val="Compact"/>
              <w:jc w:val="left"/>
            </w:pPr>
            <w:r>
              <w:t xml:space="preserve">22.58%</w:t>
            </w:r>
          </w:p>
        </w:tc>
      </w:tr>
      <w:tr>
        <w:tc>
          <w:tcPr>
            <w:gridSpan w:val="1"/>
            <w:vMerge w:val="continue"/>
          </w:tcPr>
          <w:p>
            <w:pPr/>
          </w:p>
        </w:tc>
        <w:tc>
          <w:tcPr/>
          <w:p>
            <w:pPr>
              <w:pStyle w:val="Compact"/>
              <w:jc w:val="left"/>
            </w:pPr>
            <w:r>
              <w:t xml:space="preserve">Category 4 &amp; 9: Transportation (Upstream &amp; Downstream)</w:t>
            </w:r>
          </w:p>
        </w:tc>
        <w:tc>
          <w:tcPr/>
          <w:p>
            <w:pPr>
              <w:pStyle w:val="Compact"/>
              <w:jc w:val="left"/>
            </w:pPr>
            <w:r>
              <w:t xml:space="preserve">0.09</w:t>
            </w:r>
          </w:p>
        </w:tc>
        <w:tc>
          <w:tcPr/>
          <w:p>
            <w:pPr>
              <w:pStyle w:val="Compact"/>
              <w:jc w:val="left"/>
            </w:pPr>
            <w:r>
              <w:t xml:space="preserve">0.25%</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25.00</w:t>
            </w:r>
          </w:p>
        </w:tc>
        <w:tc>
          <w:tcPr/>
          <w:p>
            <w:pPr>
              <w:pStyle w:val="Compact"/>
              <w:jc w:val="left"/>
            </w:pPr>
            <w:r>
              <w:t xml:space="preserve">69.42%</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0.09</w:t>
            </w:r>
          </w:p>
        </w:tc>
        <w:tc>
          <w:tcPr/>
          <w:p>
            <w:pPr>
              <w:pStyle w:val="Compact"/>
              <w:jc w:val="left"/>
            </w:pPr>
            <w:r>
              <w:t xml:space="preserve">0.25%</w:t>
            </w:r>
          </w:p>
        </w:tc>
      </w:tr>
      <w:tr>
        <w:tc>
          <w:tcPr>
            <w:gridSpan w:val="2"/>
          </w:tcPr>
          <w:p>
            <w:pPr>
              <w:pStyle w:val="Compact"/>
              <w:jc w:val="right"/>
            </w:pPr>
            <w:r>
              <w:t xml:space="preserve">TOTAL PCF:</w:t>
            </w:r>
          </w:p>
        </w:tc>
        <w:tc>
          <w:tcPr/>
          <w:p>
            <w:pPr>
              <w:pStyle w:val="Compact"/>
              <w:jc w:val="left"/>
            </w:pPr>
            <w:r>
              <w:rPr>
                <w:bCs/>
                <w:b/>
              </w:rPr>
              <w:t xml:space="preserve">36.01</w:t>
            </w:r>
          </w:p>
        </w:tc>
        <w:tc>
          <w:tcPr/>
          <w:p>
            <w:pPr>
              <w:pStyle w:val="Compact"/>
              <w:jc w:val="left"/>
            </w:pPr>
            <w:r>
              <w:rPr>
                <w:bCs/>
                <w:b/>
              </w:rPr>
              <w:t xml:space="preserve">100.00%</w:t>
            </w:r>
          </w:p>
        </w:tc>
      </w:tr>
    </w:tbl>
    <w:p>
      <w:pPr>
        <w:pStyle w:val="BodyText"/>
      </w:pPr>
      <w:r>
        <w:rPr>
          <w:iCs/>
          <w:i/>
        </w:rPr>
        <w:t xml:space="preserve">Note: Values may slightly differ due to rounding.</w:t>
      </w:r>
    </w:p>
    <w:bookmarkEnd w:id="48"/>
    <w:bookmarkEnd w:id="49"/>
    <w:bookmarkStart w:id="54" w:name="review-reporting"/>
    <w:p>
      <w:pPr>
        <w:pStyle w:val="Heading2"/>
      </w:pPr>
      <w:r>
        <w:t xml:space="preserve">5. Review &amp; Reporting</w:t>
      </w:r>
    </w:p>
    <w:bookmarkStart w:id="50" w:name="hotspot-analysis"/>
    <w:p>
      <w:pPr>
        <w:pStyle w:val="Heading3"/>
      </w:pPr>
      <w:r>
        <w:t xml:space="preserve">5.1. Hotspot Analysis</w:t>
      </w:r>
    </w:p>
    <w:p>
      <w:pPr>
        <w:pStyle w:val="FirstParagraph"/>
      </w:pPr>
      <w:r>
        <w:t xml:space="preserve">The primary emissions hotspot for the lwlosdxvth product is clearly identified in the **Use Phase (69.42%)** due to the assumed energy consumption over its 5-year lifespan. This suggests that improvements in product energy efficiency or user behavior could yield the most significant reductions. The **Raw Materials (22.58%)** also represent a substantial portion of the footprint, highlighting the importance of sustainable sourcing and material selection. Manufacturing energy (Scope 2) and transportation have comparatively lower impacts, but still warrant optimization.</w:t>
      </w:r>
    </w:p>
    <w:bookmarkEnd w:id="50"/>
    <w:bookmarkStart w:id="51" w:name="reliability-and-data-quality"/>
    <w:p>
      <w:pPr>
        <w:pStyle w:val="Heading3"/>
      </w:pPr>
      <w:r>
        <w:t xml:space="preserve">5.2. Reliability and Data Quality</w:t>
      </w:r>
    </w:p>
    <w:p>
      <w:pPr>
        <w:pStyle w:val="FirstParagraph"/>
      </w:pPr>
      <w:r>
        <w:t xml:space="preserve">This report incorporates both primary data (from the detailed BOM and specific energy/lifespan parameters) and secondary, industry-average emission factors. The use of specific BOM data significantly enhances the accuracy of the material impact calculation. Assumptions were made for placeholder values (e.g., specific transport modes/distances, global average grid mix for use phase) and for generic emission factors where specific data was not provided. As per GHG Protocol\'s 2026 revisions, ijgjkhlepn should aim to increase the proportion of primary data in future assessments, disaggregate data by source type, and consider third-party verification to further improve report reliability and transparency.</w:t>
      </w:r>
    </w:p>
    <w:bookmarkEnd w:id="51"/>
    <w:bookmarkStart w:id="52" w:name="X659839d91fd99b9c1312e5baaf931415fce1a8c"/>
    <w:p>
      <w:pPr>
        <w:pStyle w:val="Heading3"/>
      </w:pPr>
      <w:r>
        <w:t xml:space="preserve">5.3. Adherence to GHG Protocol &amp; 2026 LSR Update</w:t>
      </w:r>
    </w:p>
    <w:p>
      <w:pPr>
        <w:pStyle w:val="FirstParagraph"/>
      </w:pPr>
      <w:r>
        <w:t xml:space="preserve">This analysis adheres to the GHG Protocol\'s classification of emissions into Scope 1, 2, and 3. The 2026 Land Sector and Removals (LSR) Standard, effective January 1, 2027, is a critical update for accounting for land use and carbon removals. While lwlosdxvth itself may not have direct land-based activities, its supply chain, particularly for bio-based materials (e.g., cardboard packaging), or if any components involved land-use change, would be impacted. The LSR Standard provides guidance for transparently tracking and reporting emissions reduction and removal targets, especially for companies with significant land-based activities or those reporting technological CO2 removals. ijgjkhlepn should review the forthcoming LSR Guidance (expected Q2 2026) to assess any specific relevance to its upstream supply chain and potential carbon removal activities.</w:t>
      </w:r>
    </w:p>
    <w:bookmarkEnd w:id="52"/>
    <w:bookmarkStart w:id="53" w:name="scope-3-compliance-2026-requirements"/>
    <w:p>
      <w:pPr>
        <w:pStyle w:val="Heading3"/>
      </w:pPr>
      <w:r>
        <w:t xml:space="preserve">5.4. Scope 3 Compliance (2026 Requirements)</w:t>
      </w:r>
    </w:p>
    <w:p>
      <w:pPr>
        <w:pStyle w:val="FirstParagraph"/>
      </w:pPr>
      <w:r>
        <w:t xml:space="preserve">The report aims for comprehensive Scope 3 coverage, encompassing purchased goods and services, transportation (both upstream and downstream), use of sold products, and end-of-life treatment. The GHG Protocol\'s 2026 requirements emphasize at least 95% coverage for all *required* Scope 3 emissions, with any exclusions needing quantification and justification. This report has endeavored to capture all significant Scope 3 categories to meet or exceed this coverage threshold. Future reporting should ensure explicit disaggregation of primary versus secondary data sources and disclose any third-party verification status as per the evolving 2026 guidelines.</w:t>
      </w:r>
    </w:p>
    <w:bookmarkEnd w:id="53"/>
    <w:bookmarkEnd w:id="54"/>
    <w:bookmarkStart w:id="55" w:name="recommendations"/>
    <w:p>
      <w:pPr>
        <w:pStyle w:val="Heading2"/>
      </w:pPr>
      <w:r>
        <w:t xml:space="preserve">6. Recommendations</w:t>
      </w:r>
    </w:p>
    <w:p>
      <w:pPr>
        <w:pStyle w:val="FirstParagraph"/>
      </w:pPr>
      <w:r>
        <w:t xml:space="preserve">Based on this PCF analysis, ijgjkhlepn should consider the following to reduce the carbon footprint of lwlosdxvth:</w:t>
      </w:r>
    </w:p>
    <w:p>
      <w:pPr>
        <w:numPr>
          <w:ilvl w:val="0"/>
          <w:numId w:val="1013"/>
        </w:numPr>
        <w:pStyle w:val="Compact"/>
      </w:pPr>
      <w:r>
        <w:rPr>
          <w:bCs/>
          <w:b/>
        </w:rPr>
        <w:t xml:space="preserve">Optimize Use Phase:</w:t>
      </w:r>
      <w:r>
        <w:t xml:space="preserve"> </w:t>
      </w:r>
      <w:r>
        <w:t xml:space="preserve">Invest in R&amp;D for significantly more energy-efficient product designs. Educate consumers on energy-saving usage patterns.</w:t>
      </w:r>
    </w:p>
    <w:p>
      <w:pPr>
        <w:numPr>
          <w:ilvl w:val="0"/>
          <w:numId w:val="1013"/>
        </w:numPr>
        <w:pStyle w:val="Compact"/>
      </w:pPr>
      <w:r>
        <w:rPr>
          <w:bCs/>
          <w:b/>
        </w:rPr>
        <w:t xml:space="preserve">Sustainable Sourcing:</w:t>
      </w:r>
      <w:r>
        <w:t xml:space="preserve"> </w:t>
      </w:r>
      <w:r>
        <w:t xml:space="preserve">Explore suppliers for materials with lower embedded carbon (e.g., recycled aluminum, bio-based plastics with lower impact).</w:t>
      </w:r>
    </w:p>
    <w:p>
      <w:pPr>
        <w:numPr>
          <w:ilvl w:val="0"/>
          <w:numId w:val="1013"/>
        </w:numPr>
        <w:pStyle w:val="Compact"/>
      </w:pPr>
      <w:r>
        <w:rPr>
          <w:bCs/>
          <w:b/>
        </w:rPr>
        <w:t xml:space="preserve">Renewable Energy Expansion:</w:t>
      </w:r>
      <w:r>
        <w:t xml:space="preserve"> </w:t>
      </w:r>
      <w:r>
        <w:t xml:space="preserve">Increase renewable energy procurement at manufacturing facilities beyond the current 70% to further reduce Scope 2 emissions.</w:t>
      </w:r>
    </w:p>
    <w:p>
      <w:pPr>
        <w:numPr>
          <w:ilvl w:val="0"/>
          <w:numId w:val="1013"/>
        </w:numPr>
        <w:pStyle w:val="Compact"/>
      </w:pPr>
      <w:r>
        <w:rPr>
          <w:bCs/>
          <w:b/>
        </w:rPr>
        <w:t xml:space="preserve">Logistics Optimization:</w:t>
      </w:r>
      <w:r>
        <w:t xml:space="preserve"> </w:t>
      </w:r>
      <w:r>
        <w:t xml:space="preserve">Continuously optimize transport routes, consolidate shipments, and prioritize lower-emission transport modes where feasible, even for relatively small impact categories.</w:t>
      </w:r>
    </w:p>
    <w:p>
      <w:pPr>
        <w:numPr>
          <w:ilvl w:val="0"/>
          <w:numId w:val="1013"/>
        </w:numPr>
        <w:pStyle w:val="Compact"/>
      </w:pPr>
      <w:r>
        <w:rPr>
          <w:bCs/>
          <w:b/>
        </w:rPr>
        <w:t xml:space="preserve">Enhance Circularity:</w:t>
      </w:r>
      <w:r>
        <w:t xml:space="preserve"> </w:t>
      </w:r>
      <w:r>
        <w:t xml:space="preserve">Further develop and promote the existing circular/take-back programs and explore innovative recycling technologies to maximize material recovery and minimize landfilling beyond the 80% recyclability.</w:t>
      </w:r>
    </w:p>
    <w:p>
      <w:pPr>
        <w:numPr>
          <w:ilvl w:val="0"/>
          <w:numId w:val="1013"/>
        </w:numPr>
        <w:pStyle w:val="Compact"/>
      </w:pPr>
      <w:r>
        <w:rPr>
          <w:bCs/>
          <w:b/>
        </w:rPr>
        <w:t xml:space="preserve">Data Improvement:</w:t>
      </w:r>
      <w:r>
        <w:t xml:space="preserve"> </w:t>
      </w:r>
      <w:r>
        <w:t xml:space="preserve">Implement systems to collect more primary activity data from suppliers for Scope 3 categories to enhance accuracy and meet future GHG Protocol reporting standards for data disaggregation.</w:t>
      </w:r>
    </w:p>
    <w:p>
      <w:pPr>
        <w:pStyle w:val="FirstParagraph"/>
      </w:pPr>
      <w:r>
        <w:t xml:space="preserve">Confidential - Internal Use Only | Page 1 of X</w:t>
      </w:r>
    </w:p>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lwlosdxvth</dc:title>
  <dc:creator/>
  <dc:description>High-detail Product Carbon Footprint (PCF) analysis for product lwlosdxvth by ijgjkhlepn, following GHG Protocol standards and 2026 updates.</dc:description>
  <dc:language>en</dc:language>
  <cp:keywords/>
  <dcterms:created xsi:type="dcterms:W3CDTF">2026-05-30T23:53:57Z</dcterms:created>
  <dcterms:modified xsi:type="dcterms:W3CDTF">2026-05-30T23:53:57Z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