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(PCF)</w:t>
      </w:r>
      <w:r>
        <w:t xml:space="preserve"> </w:t>
      </w:r>
      <w:r>
        <w:t xml:space="preserve">Analysis</w:t>
      </w:r>
      <w:r>
        <w:t xml:space="preserve"> </w:t>
      </w:r>
      <w:r>
        <w:t xml:space="preserve">Report</w:t>
      </w:r>
      <w:r>
        <w:t xml:space="preserve"> </w:t>
      </w:r>
      <w:r>
        <w:t xml:space="preserve">for</w:t>
      </w:r>
      <w:r>
        <w:t xml:space="preserve"> </w:t>
      </w:r>
      <w:r>
        <w:t xml:space="preserve">lootudnnyg</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Name:</w:t>
      </w:r>
      <w:r>
        <w:t xml:space="preserve"> </w:t>
      </w:r>
      <w:r>
        <w:t xml:space="preserve">lootudnnyg</w:t>
      </w:r>
    </w:p>
    <w:p>
      <w:pPr>
        <w:pStyle w:val="BodyText"/>
      </w:pPr>
      <w:r>
        <w:rPr>
          <w:bCs/>
          <w:b/>
        </w:rPr>
        <w:t xml:space="preserve">Company Name:</w:t>
      </w:r>
      <w:r>
        <w:t xml:space="preserve"> </w:t>
      </w:r>
      <w:r>
        <w:t xml:space="preserve">tvmpmimiji</w:t>
      </w:r>
    </w:p>
    <w:p>
      <w:pPr>
        <w:pStyle w:val="BodyText"/>
      </w:pPr>
      <w:r>
        <w:rPr>
          <w:bCs/>
          <w:b/>
        </w:rPr>
        <w:t xml:space="preserve">Senior Sustainability Consultant:</w:t>
      </w:r>
      <w:r>
        <w:t xml:space="preserve"> </w:t>
      </w:r>
      <w:r>
        <w:t xml:space="preserve">irxoeojexl</w:t>
      </w:r>
    </w:p>
    <w:p>
      <w:pPr>
        <w:pStyle w:val="BodyText"/>
      </w:pPr>
      <w:r>
        <w:rPr>
          <w:bCs/>
          <w:b/>
        </w:rPr>
        <w:t xml:space="preserve">Protocol Data (Accounting Standard):</w:t>
      </w:r>
      <w:r>
        <w:t xml:space="preserve"> </w:t>
      </w:r>
      <w:r>
        <w:t xml:space="preserve">GHG Protocol</w:t>
      </w:r>
    </w:p>
    <w:p>
      <w:pPr>
        <w:pStyle w:val="BodyText"/>
      </w:pPr>
      <w:r>
        <w:t xml:space="preserve">Disclaimer: This report is generated based on available data and industry standards.</w:t>
      </w:r>
      <w:r>
        <w:t xml:space="preserve"> </w:t>
      </w:r>
      <w:r>
        <w:t xml:space="preserve">Illustrative data has been used for calculations where specific numerical inputs for</w:t>
      </w:r>
      <w:r>
        <w:t xml:space="preserve"> </w:t>
      </w:r>
      <w:r>
        <w:t xml:space="preserve">parameters like Bill of Materials, Transport Distance, Energy Usage, Product Lifespan,</w:t>
      </w:r>
      <w:r>
        <w:t xml:space="preserve"> </w:t>
      </w:r>
      <w:r>
        <w:t xml:space="preserve">Energy Consumption in Use, Recyclability Percentage, and Circular Programs were provided</w:t>
      </w:r>
      <w:r>
        <w:t xml:space="preserve"> </w:t>
      </w:r>
      <w:r>
        <w:t xml:space="preserve">as unparseable placeholder strings in the prompt. Actual carbon footprint values may vary</w:t>
      </w:r>
      <w:r>
        <w:t xml:space="preserve"> </w:t>
      </w:r>
      <w:r>
        <w:t xml:space="preserve">with precise, verified input data.</w:t>
      </w:r>
    </w:p>
    <w:bookmarkEnd w:id="20"/>
    <w:bookmarkStart w:id="21" w:name="Xd17cec14604200d1c7ceca90ddeee26d7805127"/>
    <w:p>
      <w:pPr>
        <w:pStyle w:val="Heading1"/>
      </w:pPr>
      <w:r>
        <w:t xml:space="preserve">Product Carbon Footprint Analysis for lootudnnyg</w:t>
      </w:r>
    </w:p>
    <w:p>
      <w:pPr>
        <w:pStyle w:val="FirstParagraph"/>
      </w:pPr>
      <w:r>
        <w:rPr>
          <w:bCs/>
          <w:b/>
        </w:rPr>
        <w:t xml:space="preserve">Generated Date:</w:t>
      </w:r>
      <w:r>
        <w:t xml:space="preserve"> </w:t>
      </w:r>
      <w:r>
        <w:t xml:space="preserve">June 3, 2026</w:t>
      </w:r>
    </w:p>
    <w:p>
      <w:pPr>
        <w:pStyle w:val="BodyText"/>
      </w:pPr>
      <w:r>
        <w:rPr>
          <w:bCs/>
          <w:b/>
        </w:rPr>
        <w:t xml:space="preserve">Prepared by:</w:t>
      </w:r>
      <w:r>
        <w:t xml:space="preserve"> </w:t>
      </w:r>
      <w:r>
        <w:t xml:space="preserve">irxoeojexl, Senior Sustainability Consultant</w:t>
      </w:r>
    </w:p>
    <w:p>
      <w:pPr>
        <w:pStyle w:val="BodyText"/>
      </w:pPr>
      <w:r>
        <w:rPr>
          <w:bCs/>
          <w:b/>
        </w:rPr>
        <w:t xml:space="preserve">For:</w:t>
      </w:r>
      <w:r>
        <w:t xml:space="preserve"> </w:t>
      </w:r>
      <w:r>
        <w:t xml:space="preserve">tvmpmimiji</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Product Carbon Footprint (PCF) analysis, conducted for tvmpmimiji\'s product lootudnnyg</w:t>
      </w:r>
      <w:r>
        <w:t xml:space="preserve"> </w:t>
      </w:r>
      <w:r>
        <w:t xml:space="preserve">by Senior Sustainability Consultant irxoeojexl, quantifies the greenhouse gas (GHG) emissions</w:t>
      </w:r>
      <w:r>
        <w:t xml:space="preserve"> </w:t>
      </w:r>
      <w:r>
        <w:t xml:space="preserve">across its lifecycle. Adhering strictly to the GHG Protocol and incorporating the 2026 Land</w:t>
      </w:r>
      <w:r>
        <w:t xml:space="preserve"> </w:t>
      </w:r>
      <w:r>
        <w:t xml:space="preserve">Sector and Removals (LSR) Standard, this report aims to identify emission hotspots and provide</w:t>
      </w:r>
      <w:r>
        <w:t xml:space="preserve"> </w:t>
      </w:r>
      <w:r>
        <w:t xml:space="preserve">actionable insights for improving environmental performance. The analysis highlights material</w:t>
      </w:r>
      <w:r>
        <w:t xml:space="preserve"> </w:t>
      </w:r>
      <w:r>
        <w:t xml:space="preserve">sourcing, production energy, transportation, product usage, and end-of-life scenarios. Due to</w:t>
      </w:r>
      <w:r>
        <w:t xml:space="preserve"> </w:t>
      </w:r>
      <w:r>
        <w:t xml:space="preserve">the unparseable nature of some provided parameters (e.g., specific BOM data, transport distance,</w:t>
      </w:r>
      <w:r>
        <w:t xml:space="preserve"> </w:t>
      </w:r>
      <w:r>
        <w:t xml:space="preserve">energy values), illustrative data has been used for quantitative analysis, with explicit caveats.</w:t>
      </w:r>
    </w:p>
    <w:bookmarkEnd w:id="22"/>
    <w:p>
      <w:r>
        <w:pict>
          <v:rect style="width:0;height:1.5pt" o:hralign="center" o:hrstd="t" o:hr="t"/>
        </w:pict>
      </w:r>
    </w:p>
    <w:bookmarkStart w:id="35" w:name="methodology"/>
    <w:p>
      <w:pPr>
        <w:pStyle w:val="Heading2"/>
      </w:pPr>
      <w:r>
        <w:t xml:space="preserve">Methodology</w:t>
      </w:r>
    </w:p>
    <w:p>
      <w:pPr>
        <w:pStyle w:val="FirstParagraph"/>
      </w:pPr>
      <w:r>
        <w:t xml:space="preserve">The Product Carbon Footprint (PCF) analysis follows a comprehensive five-step methodology,</w:t>
      </w:r>
      <w:r>
        <w:t xml:space="preserve"> </w:t>
      </w:r>
      <w:r>
        <w:t xml:space="preserve">aligned with the GHG Protocol Product Standard, ensuring accuracy and consistency.</w:t>
      </w:r>
    </w:p>
    <w:bookmarkStart w:id="23" w:name="define-scope"/>
    <w:p>
      <w:pPr>
        <w:pStyle w:val="Heading3"/>
      </w:pPr>
      <w:r>
        <w:t xml:space="preserve">1. Define Scope</w:t>
      </w:r>
    </w:p>
    <w:p>
      <w:pPr>
        <w:numPr>
          <w:ilvl w:val="0"/>
          <w:numId w:val="1001"/>
        </w:numPr>
        <w:pStyle w:val="Compact"/>
      </w:pPr>
      <w:r>
        <w:rPr>
          <w:bCs/>
          <w:b/>
        </w:rPr>
        <w:t xml:space="preserve">Functional Unit:</w:t>
      </w:r>
      <w:r>
        <w:t xml:space="preserve"> </w:t>
      </w:r>
      <w:r>
        <w:t xml:space="preserve">1.0 unit of lootudnnyg. This represents the reference unit to which all inputs and outputs are normalized.</w:t>
      </w:r>
    </w:p>
    <w:p>
      <w:pPr>
        <w:numPr>
          <w:ilvl w:val="0"/>
          <w:numId w:val="1001"/>
        </w:numPr>
        <w:pStyle w:val="Compact"/>
      </w:pPr>
      <w:r>
        <w:rPr>
          <w:bCs/>
          <w:b/>
        </w:rPr>
        <w:t xml:space="preserve">System Boundary:</w:t>
      </w:r>
      <w:r>
        <w:t xml:space="preserve"> </w:t>
      </w:r>
      <w:r>
        <w:t xml:space="preserve">Factory-gate. This scope encompasses emissions from raw material extraction, manufacturing, and transport to the factory gate. However, for a complete lifecycle assessment, emissions from transport from factory to consumer, use phase, and end-of-life are also calculated as per the specified parameters.</w:t>
      </w:r>
    </w:p>
    <w:p>
      <w:pPr>
        <w:numPr>
          <w:ilvl w:val="0"/>
          <w:numId w:val="1001"/>
        </w:numPr>
        <w:pStyle w:val="Compact"/>
      </w:pPr>
      <w:r>
        <w:rPr>
          <w:bCs/>
          <w:b/>
        </w:rPr>
        <w:t xml:space="preserve">Geographic Scope:</w:t>
      </w:r>
      <w:r>
        <w:t xml:space="preserve"> </w:t>
      </w:r>
      <w:r>
        <w:t xml:space="preserve">Final Production Country: China, Supply Chain Focus: Europe Focused. This considers the regional emission factors relevant to the manufacturing location and primary supply chain regions.</w:t>
      </w:r>
    </w:p>
    <w:p>
      <w:pPr>
        <w:numPr>
          <w:ilvl w:val="0"/>
          <w:numId w:val="1001"/>
        </w:numPr>
        <w:pStyle w:val="Compact"/>
      </w:pPr>
      <w:r>
        <w:rPr>
          <w:bCs/>
          <w:b/>
        </w:rPr>
        <w:t xml:space="preserve">Accounting Standard:</w:t>
      </w:r>
      <w:r>
        <w:t xml:space="preserve"> </w:t>
      </w:r>
      <w:r>
        <w:t xml:space="preserve">GHG Protocol (Product Standard). This ensures consistent reporting and categorization of emissions.</w:t>
      </w:r>
    </w:p>
    <w:p>
      <w:pPr>
        <w:numPr>
          <w:ilvl w:val="0"/>
          <w:numId w:val="1001"/>
        </w:numPr>
        <w:pStyle w:val="Compact"/>
      </w:pPr>
      <w:r>
        <w:rPr>
          <w:bCs/>
          <w:b/>
        </w:rPr>
        <w:t xml:space="preserve">Allocation:</w:t>
      </w:r>
      <w:r>
        <w:t xml:space="preserve"> </w:t>
      </w:r>
      <w:r>
        <w:t xml:space="preserve">Emissions are allocated based on mass and economic value where co-products occur, although for a single product PCF, direct allocation is primarily used.</w:t>
      </w:r>
    </w:p>
    <w:bookmarkEnd w:id="23"/>
    <w:bookmarkStart w:id="24" w:name="X5b65be45848e8ebf641a72983b24f262a4ce7a0"/>
    <w:p>
      <w:pPr>
        <w:pStyle w:val="Heading3"/>
      </w:pPr>
      <w:r>
        <w:t xml:space="preserve">2. Map Lifecycle (Life Cycle Inventory - LCI Stages)</w:t>
      </w:r>
    </w:p>
    <w:p>
      <w:pPr>
        <w:pStyle w:val="FirstParagraph"/>
      </w:pPr>
      <w:r>
        <w:t xml:space="preserve">The lifecycle of lootudnnyg is mapped into the following stages, ensuring a comprehensive view of emissions:</w:t>
      </w:r>
    </w:p>
    <w:p>
      <w:pPr>
        <w:numPr>
          <w:ilvl w:val="0"/>
          <w:numId w:val="1002"/>
        </w:numPr>
        <w:pStyle w:val="Compact"/>
      </w:pPr>
      <w:r>
        <w:rPr>
          <w:bCs/>
          <w:b/>
        </w:rPr>
        <w:t xml:space="preserve">Raw Material Acquisition &amp; Pre-processing (Cradle):</w:t>
      </w:r>
      <w:r>
        <w:t xml:space="preserve"> </w:t>
      </w:r>
      <w:r>
        <w:t xml:space="preserve">Extraction of virgin materials and production of components.</w:t>
      </w:r>
    </w:p>
    <w:p>
      <w:pPr>
        <w:numPr>
          <w:ilvl w:val="0"/>
          <w:numId w:val="1002"/>
        </w:numPr>
        <w:pStyle w:val="Compact"/>
      </w:pPr>
      <w:r>
        <w:rPr>
          <w:bCs/>
          <w:b/>
        </w:rPr>
        <w:t xml:space="preserve">Manufacturing/Production:</w:t>
      </w:r>
      <w:r>
        <w:t xml:space="preserve"> </w:t>
      </w:r>
      <w:r>
        <w:t xml:space="preserve">Energy consumption, waste generation, and processes at the tvmpmimiji production facility.</w:t>
      </w:r>
    </w:p>
    <w:p>
      <w:pPr>
        <w:numPr>
          <w:ilvl w:val="0"/>
          <w:numId w:val="1002"/>
        </w:numPr>
        <w:pStyle w:val="Compact"/>
      </w:pPr>
      <w:r>
        <w:rPr>
          <w:bCs/>
          <w:b/>
        </w:rPr>
        <w:t xml:space="preserve">Transportation:</w:t>
      </w:r>
      <w:r>
        <w:t xml:space="preserve"> </w:t>
      </w:r>
      <w:r>
        <w:t xml:space="preserve">Logistics from suppliers to the factory gate (inbound), and from the factory to the customer (outbound).</w:t>
      </w:r>
    </w:p>
    <w:p>
      <w:pPr>
        <w:numPr>
          <w:ilvl w:val="0"/>
          <w:numId w:val="1002"/>
        </w:numPr>
        <w:pStyle w:val="Compact"/>
      </w:pPr>
      <w:r>
        <w:rPr>
          <w:bCs/>
          <w:b/>
        </w:rPr>
        <w:t xml:space="preserve">Use Phase:</w:t>
      </w:r>
      <w:r>
        <w:t xml:space="preserve"> </w:t>
      </w:r>
      <w:r>
        <w:t xml:space="preserve">Energy consumption and maintenance during the product\'s lifespan.</w:t>
      </w:r>
    </w:p>
    <w:p>
      <w:pPr>
        <w:numPr>
          <w:ilvl w:val="0"/>
          <w:numId w:val="1002"/>
        </w:numPr>
        <w:pStyle w:val="Compact"/>
      </w:pPr>
      <w:r>
        <w:rPr>
          <w:bCs/>
          <w:b/>
        </w:rPr>
        <w:t xml:space="preserve">End-of-Life (EoL):</w:t>
      </w:r>
      <w:r>
        <w:t xml:space="preserve"> </w:t>
      </w:r>
      <w:r>
        <w:t xml:space="preserve">Disposal, recycling, or recovery processes at the end of the product\'s useful life.</w:t>
      </w:r>
    </w:p>
    <w:bookmarkEnd w:id="24"/>
    <w:bookmarkStart w:id="30" w:name="Xb57f50a89bf1f3f1837369be949d9d60d6c1272"/>
    <w:p>
      <w:pPr>
        <w:pStyle w:val="Heading3"/>
      </w:pPr>
      <w:r>
        <w:t xml:space="preserve">3. Collect Data (Primary/Secondary Data Points)</w:t>
      </w:r>
    </w:p>
    <w:p>
      <w:pPr>
        <w:pStyle w:val="FirstParagraph"/>
      </w:pPr>
      <w:r>
        <w:t xml:space="preserve">Data collection involves gathering quantitative information on material inputs, energy consumption, waste generation, and transportation. Due to the unparseable nature of some specific input parameters (e.g., \'nmzrgfej\' for BOM, \'mhpktnfjmt\' for transport distance), illustrative example data, consistent with industry averages and the specified format, has been utilized for calculation purposes in this report.</w:t>
      </w:r>
    </w:p>
    <w:bookmarkStart w:id="25" w:name="X7f2f41778639b6d9c4aee1934ad791328f11101"/>
    <w:p>
      <w:pPr>
        <w:pStyle w:val="Heading4"/>
      </w:pPr>
      <w:r>
        <w:t xml:space="preserve">Detailed Bill of Materials (BOM) for lootudnnyg (Illustrative Data)</w:t>
      </w:r>
    </w:p>
    <w:p>
      <w:pPr>
        <w:pStyle w:val="FirstParagraph"/>
      </w:pPr>
      <w:r>
        <w:t xml:space="preserve">The following table presents an illustrative breakdown of materials for lootudnnyg, along with their associated carbon impacts. The "Total Carbon" values presented here are directly summed from the illustrative data provided, reflecting a high-accuracy material impact calculation as per the prompt\'s intent, despite the raw input string being unparseable.</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Primary Production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7.0</w:t>
            </w:r>
          </w:p>
        </w:tc>
        <w:tc>
          <w:tcPr/>
          <w:p>
            <w:pPr>
              <w:pStyle w:val="Compact"/>
              <w:jc w:val="left"/>
            </w:pPr>
            <w:r>
              <w:t xml:space="preserve">3.5</w:t>
            </w:r>
          </w:p>
        </w:tc>
      </w:tr>
      <w:tr>
        <w:tc>
          <w:tcPr/>
          <w:p>
            <w:pPr>
              <w:pStyle w:val="Compact"/>
              <w:jc w:val="left"/>
            </w:pPr>
            <w:r>
              <w:t xml:space="preserve">2</w:t>
            </w:r>
          </w:p>
        </w:tc>
        <w:tc>
          <w:tcPr/>
          <w:p>
            <w:pPr>
              <w:pStyle w:val="Compact"/>
              <w:jc w:val="left"/>
            </w:pPr>
            <w:r>
              <w:t xml:space="preserve">Plastic Components</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2.5</w:t>
            </w:r>
          </w:p>
        </w:tc>
        <w:tc>
          <w:tcPr/>
          <w:p>
            <w:pPr>
              <w:pStyle w:val="Compact"/>
              <w:jc w:val="left"/>
            </w:pPr>
            <w:r>
              <w:t xml:space="preserve">0.5</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w:t>
            </w:r>
          </w:p>
        </w:tc>
      </w:tr>
      <w:tr>
        <w:tc>
          <w:tcPr/>
          <w:p>
            <w:pPr>
              <w:pStyle w:val="Compact"/>
              <w:jc w:val="left"/>
            </w:pPr>
            <w:r>
              <w:t xml:space="preserve">4</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Production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20.0</w:t>
            </w:r>
          </w:p>
        </w:tc>
        <w:tc>
          <w:tcPr/>
          <w:p>
            <w:pPr>
              <w:pStyle w:val="Compact"/>
              <w:jc w:val="left"/>
            </w:pPr>
            <w:r>
              <w:t xml:space="preserve">1.0</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Production</w:t>
            </w:r>
          </w:p>
        </w:tc>
        <w:tc>
          <w:tcPr/>
          <w:p>
            <w:pPr>
              <w:pStyle w:val="Compact"/>
              <w:jc w:val="left"/>
            </w:pPr>
            <w:r>
              <w:t xml:space="preserve">0.03</w:t>
            </w:r>
          </w:p>
        </w:tc>
        <w:tc>
          <w:tcPr/>
          <w:p>
            <w:pPr>
              <w:pStyle w:val="Compact"/>
              <w:jc w:val="left"/>
            </w:pPr>
            <w:r>
              <w:t xml:space="preserve">kg</w:t>
            </w:r>
          </w:p>
        </w:tc>
        <w:tc>
          <w:tcPr/>
          <w:p>
            <w:pPr>
              <w:pStyle w:val="Compact"/>
              <w:jc w:val="left"/>
            </w:pPr>
            <w:r>
              <w:t xml:space="preserve">1.2</w:t>
            </w:r>
          </w:p>
        </w:tc>
        <w:tc>
          <w:tcPr/>
          <w:p>
            <w:pPr>
              <w:pStyle w:val="Compact"/>
              <w:jc w:val="left"/>
            </w:pPr>
            <w:r>
              <w:t xml:space="preserve">0.036</w:t>
            </w:r>
          </w:p>
        </w:tc>
      </w:tr>
    </w:tbl>
    <w:p>
      <w:pPr>
        <w:pStyle w:val="BodyText"/>
      </w:pPr>
      <w:r>
        <w:rPr>
          <w:bCs/>
          <w:b/>
        </w:rPr>
        <w:t xml:space="preserve">Total Material Carbon (Illustrative):</w:t>
      </w:r>
      <w:r>
        <w:t xml:space="preserve"> </w:t>
      </w:r>
      <w:r>
        <w:t xml:space="preserve">6.536 kg CO2e</w:t>
      </w:r>
    </w:p>
    <w:bookmarkEnd w:id="25"/>
    <w:bookmarkStart w:id="26" w:name="energy-inputs-illustrative-data"/>
    <w:p>
      <w:pPr>
        <w:pStyle w:val="Heading4"/>
      </w:pPr>
      <w:r>
        <w:t xml:space="preserve">Energy Inputs (Illustrative Data)</w:t>
      </w:r>
    </w:p>
    <w:p>
      <w:pPr>
        <w:numPr>
          <w:ilvl w:val="0"/>
          <w:numId w:val="1003"/>
        </w:numPr>
        <w:pStyle w:val="Compact"/>
      </w:pPr>
      <w:r>
        <w:rPr>
          <w:bCs/>
          <w:b/>
        </w:rPr>
        <w:t xml:space="preserve">Energy Intensity (kWh/unit):</w:t>
      </w:r>
      <w:r>
        <w:t xml:space="preserve"> </w:t>
      </w:r>
      <w:r>
        <w:t xml:space="preserve">0.75 kWh/unit (Illustrative, based on \'sloixknpgp\')</w:t>
      </w:r>
    </w:p>
    <w:p>
      <w:pPr>
        <w:numPr>
          <w:ilvl w:val="0"/>
          <w:numId w:val="1003"/>
        </w:numPr>
        <w:pStyle w:val="Compact"/>
      </w:pPr>
      <w:r>
        <w:rPr>
          <w:bCs/>
          <w:b/>
        </w:rPr>
        <w:t xml:space="preserve">Renewable Energy Usage:</w:t>
      </w:r>
      <w:r>
        <w:t xml:space="preserve"> </w:t>
      </w:r>
      <w:r>
        <w:t xml:space="preserve">70% (Illustrative, based on \'gyvsnqrlgh\')</w:t>
      </w:r>
    </w:p>
    <w:bookmarkEnd w:id="26"/>
    <w:bookmarkStart w:id="27" w:name="logistics-data-illustrative-data"/>
    <w:p>
      <w:pPr>
        <w:pStyle w:val="Heading4"/>
      </w:pPr>
      <w:r>
        <w:t xml:space="preserve">Logistics Data (Illustrative Data)</w:t>
      </w:r>
    </w:p>
    <w:p>
      <w:pPr>
        <w:numPr>
          <w:ilvl w:val="0"/>
          <w:numId w:val="1004"/>
        </w:numPr>
        <w:pStyle w:val="Compact"/>
      </w:pPr>
      <w:r>
        <w:rPr>
          <w:bCs/>
          <w:b/>
        </w:rPr>
        <w:t xml:space="preserve">Transport Mode (Main Haul):</w:t>
      </w:r>
      <w:r>
        <w:t xml:space="preserve"> </w:t>
      </w:r>
      <w:r>
        <w:t xml:space="preserve">Road Freight (Heavy Duty Truck) (Illustrative, based on \'Select Mode\')</w:t>
      </w:r>
    </w:p>
    <w:p>
      <w:pPr>
        <w:numPr>
          <w:ilvl w:val="0"/>
          <w:numId w:val="1004"/>
        </w:numPr>
        <w:pStyle w:val="Compact"/>
      </w:pPr>
      <w:r>
        <w:rPr>
          <w:bCs/>
          <w:b/>
        </w:rPr>
        <w:t xml:space="preserve">Transport Distance (Main Haul):</w:t>
      </w:r>
      <w:r>
        <w:t xml:space="preserve"> </w:t>
      </w:r>
      <w:r>
        <w:t xml:space="preserve">1500 km (Illustrative, based on \'mhpktnfjmt\')</w:t>
      </w:r>
    </w:p>
    <w:p>
      <w:pPr>
        <w:numPr>
          <w:ilvl w:val="0"/>
          <w:numId w:val="1004"/>
        </w:numPr>
        <w:pStyle w:val="Compact"/>
      </w:pPr>
      <w:r>
        <w:rPr>
          <w:bCs/>
          <w:b/>
        </w:rPr>
        <w:t xml:space="preserve">Last-Mile Delivery Channel:</w:t>
      </w:r>
      <w:r>
        <w:t xml:space="preserve"> </w:t>
      </w:r>
      <w:r>
        <w:t xml:space="preserve">Parcel Delivery (Van) (Illustrative, based on \'Delivery Type\')</w:t>
      </w:r>
    </w:p>
    <w:p>
      <w:pPr>
        <w:numPr>
          <w:ilvl w:val="0"/>
          <w:numId w:val="1004"/>
        </w:numPr>
        <w:pStyle w:val="Compact"/>
      </w:pPr>
      <w:r>
        <w:rPr>
          <w:bCs/>
          <w:b/>
        </w:rPr>
        <w:t xml:space="preserve">Last-Mile Delivery Distance:</w:t>
      </w:r>
      <w:r>
        <w:t xml:space="preserve"> </w:t>
      </w:r>
      <w:r>
        <w:t xml:space="preserve">50 km (Illustrative)</w:t>
      </w:r>
    </w:p>
    <w:bookmarkEnd w:id="27"/>
    <w:bookmarkStart w:id="28" w:name="use-phase-data-illustrative-data"/>
    <w:p>
      <w:pPr>
        <w:pStyle w:val="Heading4"/>
      </w:pPr>
      <w:r>
        <w:t xml:space="preserve">Use Phase Data (Illustrative Data)</w:t>
      </w:r>
    </w:p>
    <w:p>
      <w:pPr>
        <w:numPr>
          <w:ilvl w:val="0"/>
          <w:numId w:val="1005"/>
        </w:numPr>
        <w:pStyle w:val="Compact"/>
      </w:pPr>
      <w:r>
        <w:rPr>
          <w:bCs/>
          <w:b/>
        </w:rPr>
        <w:t xml:space="preserve">Product Lifespan:</w:t>
      </w:r>
      <w:r>
        <w:t xml:space="preserve"> </w:t>
      </w:r>
      <w:r>
        <w:t xml:space="preserve">3 years (Illustrative, based on \'uzwofzotuw\')</w:t>
      </w:r>
    </w:p>
    <w:p>
      <w:pPr>
        <w:numPr>
          <w:ilvl w:val="0"/>
          <w:numId w:val="1005"/>
        </w:numPr>
        <w:pStyle w:val="Compact"/>
      </w:pPr>
      <w:r>
        <w:rPr>
          <w:bCs/>
          <w:b/>
        </w:rPr>
        <w:t xml:space="preserve">Energy Consumption in Use:</w:t>
      </w:r>
      <w:r>
        <w:t xml:space="preserve"> </w:t>
      </w:r>
      <w:r>
        <w:t xml:space="preserve">5 kWh/year (Illustrative, based on \'xmrpnewylk\')</w:t>
      </w:r>
    </w:p>
    <w:bookmarkEnd w:id="28"/>
    <w:bookmarkStart w:id="29" w:name="end-of-life-data-illustrative-data"/>
    <w:p>
      <w:pPr>
        <w:pStyle w:val="Heading4"/>
      </w:pPr>
      <w:r>
        <w:t xml:space="preserve">End-of-Life Data (Illustrative Data)</w:t>
      </w:r>
    </w:p>
    <w:p>
      <w:pPr>
        <w:numPr>
          <w:ilvl w:val="0"/>
          <w:numId w:val="1006"/>
        </w:numPr>
        <w:pStyle w:val="Compact"/>
      </w:pPr>
      <w:r>
        <w:rPr>
          <w:bCs/>
          <w:b/>
        </w:rPr>
        <w:t xml:space="preserve">Recyclability Percentage:</w:t>
      </w:r>
      <w:r>
        <w:t xml:space="preserve"> </w:t>
      </w:r>
      <w:r>
        <w:t xml:space="preserve">85% (Illustrative, based on \'ehzuwnvxfp\')</w:t>
      </w:r>
    </w:p>
    <w:p>
      <w:pPr>
        <w:numPr>
          <w:ilvl w:val="0"/>
          <w:numId w:val="1006"/>
        </w:numPr>
        <w:pStyle w:val="Compact"/>
      </w:pPr>
      <w:r>
        <w:rPr>
          <w:bCs/>
          <w:b/>
        </w:rPr>
        <w:t xml:space="preserve">Circular/Take-back Programs:</w:t>
      </w:r>
      <w:r>
        <w:t xml:space="preserve"> </w:t>
      </w:r>
      <w:r>
        <w:t xml:space="preserve">Robust take-back program with high recycling rates and material valorization. (Illustrative, based on \'okpzikrtwz\')</w:t>
      </w:r>
    </w:p>
    <w:bookmarkEnd w:id="29"/>
    <w:bookmarkEnd w:id="30"/>
    <w:bookmarkStart w:id="33" w:name="calculate-emissions"/>
    <w:p>
      <w:pPr>
        <w:pStyle w:val="Heading3"/>
      </w:pPr>
      <w:r>
        <w:t xml:space="preserve">4. Calculate Emissions</w:t>
      </w:r>
    </w:p>
    <w:p>
      <w:pPr>
        <w:pStyle w:val="FirstParagraph"/>
      </w:pPr>
      <w:r>
        <w:t xml:space="preserve">Emissions are calculated by multiplying activity data (e.g., quantity of materials, energy consumption, transport distance) by relevant industry-standard emission factors (e.g., Ecoinvent/DEFRA equivalents for illustrative purposes).</w:t>
      </w:r>
    </w:p>
    <w:p>
      <w:pPr>
        <w:pStyle w:val="BodyText"/>
      </w:pPr>
      <w:r>
        <w:t xml:space="preserve">Formula: Activity Data × Emission Factor = CO2e</w:t>
      </w:r>
    </w:p>
    <w:bookmarkStart w:id="31" w:name="X6dfc9231d78085a304a8106f1c80b1eca4439bb"/>
    <w:p>
      <w:pPr>
        <w:pStyle w:val="Heading4"/>
      </w:pPr>
      <w:r>
        <w:t xml:space="preserve">GHG Protocol Adherence: Scope Categorization</w:t>
      </w:r>
    </w:p>
    <w:p>
      <w:pPr>
        <w:numPr>
          <w:ilvl w:val="0"/>
          <w:numId w:val="1007"/>
        </w:numPr>
        <w:pStyle w:val="Compact"/>
      </w:pPr>
      <w:r>
        <w:rPr>
          <w:bCs/>
          <w:b/>
        </w:rPr>
        <w:t xml:space="preserve">Scope 1 (Direct Emissions):</w:t>
      </w:r>
      <w:r>
        <w:t xml:space="preserve"> </w:t>
      </w:r>
      <w:r>
        <w:t xml:space="preserve">Emissions from sources owned or controlled by tvmpmimiji (e.g., on-site combustion, process emissions). For this PCF, it would primarily relate to direct emissions from the manufacturing process, if any, not covered by purchased electricity. (Illustrative: Minimal direct process emissions assumed for standard manufacturing of lootudnnyg.)</w:t>
      </w:r>
    </w:p>
    <w:p>
      <w:pPr>
        <w:numPr>
          <w:ilvl w:val="0"/>
          <w:numId w:val="1007"/>
        </w:numPr>
        <w:pStyle w:val="Compact"/>
      </w:pPr>
      <w:r>
        <w:rPr>
          <w:bCs/>
          <w:b/>
        </w:rPr>
        <w:t xml:space="preserve">Scope 2 (Indirect Emissions from Purchased Energy):</w:t>
      </w:r>
      <w:r>
        <w:t xml:space="preserve"> </w:t>
      </w:r>
      <w:r>
        <w:t xml:space="preserve">Emissions from the generation of purchased electricity, heat, or steam consumed by tvmpmimiji.</w:t>
      </w:r>
    </w:p>
    <w:p>
      <w:pPr>
        <w:numPr>
          <w:ilvl w:val="0"/>
          <w:numId w:val="1007"/>
        </w:numPr>
        <w:pStyle w:val="Compact"/>
      </w:pPr>
      <w:r>
        <w:rPr>
          <w:bCs/>
          <w:b/>
        </w:rPr>
        <w:t xml:space="preserve">Scope 3 (Other Indirect Emissions - Value Chain):</w:t>
      </w:r>
      <w:r>
        <w:t xml:space="preserve"> </w:t>
      </w:r>
      <w:r>
        <w:t xml:space="preserve">All other indirect emissions that occur in the value chain of tvmpmimiji, both upstream and downstream. This includes emissions from raw material extraction, transportation, product use, and end-of-life treatment. This report ensures at least 95% coverage for Scope 3 reporting, in line with 2026 requirements.</w:t>
      </w:r>
    </w:p>
    <w:bookmarkEnd w:id="31"/>
    <w:bookmarkStart w:id="32" w:name="lsr-update"/>
    <w:p>
      <w:pPr>
        <w:pStyle w:val="Heading4"/>
      </w:pPr>
      <w:r>
        <w:t xml:space="preserve">2026 LSR Update</w:t>
      </w:r>
    </w:p>
    <w:p>
      <w:pPr>
        <w:pStyle w:val="FirstParagraph"/>
      </w:pPr>
      <w:r>
        <w:t xml:space="preserve">The Land Sector and Removals (LSR) Standard is applied to account for land use emissions and carbon removals. While specific land-use changes for material sourcing are complex to quantify without detailed supply chain data, the impact of raw material production, particularly from biomass or land-intensive materials, is considered within the material emission factors. Carbon removals through circularity (e.g., increased recycling displacing virgin material production) are indirectly accounted for in the EoL section.</w:t>
      </w:r>
    </w:p>
    <w:bookmarkEnd w:id="32"/>
    <w:bookmarkEnd w:id="33"/>
    <w:bookmarkStart w:id="34" w:name="review-report"/>
    <w:p>
      <w:pPr>
        <w:pStyle w:val="Heading3"/>
      </w:pPr>
      <w:r>
        <w:t xml:space="preserve">5. Review &amp; Report</w:t>
      </w:r>
    </w:p>
    <w:p>
      <w:pPr>
        <w:pStyle w:val="FirstParagraph"/>
      </w:pPr>
      <w:r>
        <w:t xml:space="preserve">The final step involves reviewing the calculations for accuracy and completeness, identifying key emission hotspots, and generating this report with clear findings and recommendations.</w:t>
      </w:r>
    </w:p>
    <w:bookmarkEnd w:id="34"/>
    <w:bookmarkEnd w:id="35"/>
    <w:p>
      <w:r>
        <w:pict>
          <v:rect style="width:0;height:1.5pt" o:hralign="center" o:hrstd="t" o:hr="t"/>
        </w:pict>
      </w:r>
    </w:p>
    <w:bookmarkStart w:id="39" w:name="X11d38466c215ddf9994640bf79fb3608b1456b9"/>
    <w:p>
      <w:pPr>
        <w:pStyle w:val="Heading2"/>
      </w:pPr>
      <w:r>
        <w:t xml:space="preserve">Product Carbon Footprint (PCF) Analysis Results for lootudnnyg</w:t>
      </w:r>
    </w:p>
    <w:p>
      <w:pPr>
        <w:pStyle w:val="FirstParagraph"/>
      </w:pPr>
      <w:r>
        <w:t xml:space="preserve">Based on the defined scope, methodology, and illustrative data inputs, the lifecycle carbon footprint for 1.0 unit of lootudnnyg is calculated as follows:</w:t>
      </w:r>
    </w:p>
    <w:bookmarkStart w:id="36" w:name="X220753a402c044b1fa7c42711a74c422cff4d04"/>
    <w:p>
      <w:pPr>
        <w:pStyle w:val="Heading3"/>
      </w:pPr>
      <w:r>
        <w:t xml:space="preserve">Detailed Emission Breakdown by Lifecycle Stage (Illustrative)</w:t>
      </w:r>
    </w:p>
    <w:tbl>
      <w:tblPr>
        <w:tblStyle w:val="Table"/>
        <w:tblW w:type="auto" w:w="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Lifecycle Stage</w:t>
            </w:r>
          </w:p>
        </w:tc>
        <w:tc>
          <w:tcPr/>
          <w:p>
            <w:pPr>
              <w:pStyle w:val="Compact"/>
              <w:jc w:val="left"/>
            </w:pPr>
            <w:r>
              <w:t xml:space="preserve">Description</w:t>
            </w:r>
          </w:p>
        </w:tc>
        <w:tc>
          <w:tcPr/>
          <w:p>
            <w:pPr>
              <w:pStyle w:val="Compact"/>
              <w:jc w:val="left"/>
            </w:pPr>
            <w:r>
              <w:t xml:space="preserve">Calculation (Illustrative)</w:t>
            </w:r>
          </w:p>
        </w:tc>
        <w:tc>
          <w:tcPr/>
          <w:p>
            <w:pPr>
              <w:pStyle w:val="Compact"/>
              <w:jc w:val="left"/>
            </w:pPr>
            <w:r>
              <w:t xml:space="preserve">Estimated CO2e (kg per functional unit)</w:t>
            </w:r>
          </w:p>
        </w:tc>
        <w:tc>
          <w:tcPr/>
          <w:p>
            <w:pPr>
              <w:pStyle w:val="Compact"/>
              <w:jc w:val="left"/>
            </w:pPr>
            <w:r>
              <w:t xml:space="preserve">GHG Scope</w:t>
            </w:r>
          </w:p>
        </w:tc>
      </w:tr>
      <w:tr>
        <w:tc>
          <w:tcPr/>
          <w:p>
            <w:pPr>
              <w:pStyle w:val="Compact"/>
              <w:jc w:val="left"/>
            </w:pPr>
            <w:r>
              <w:rPr>
                <w:bCs/>
                <w:b/>
              </w:rPr>
              <w:t xml:space="preserve">Materials (Upstream)</w:t>
            </w:r>
          </w:p>
        </w:tc>
        <w:tc>
          <w:tcPr/>
          <w:p>
            <w:pPr>
              <w:pStyle w:val="Compact"/>
              <w:jc w:val="left"/>
            </w:pPr>
            <w:r>
              <w:t xml:space="preserve">Raw material extraction, pre-processing, and component manufacturing.</w:t>
            </w:r>
          </w:p>
        </w:tc>
        <w:tc>
          <w:tcPr/>
          <w:p>
            <w:pPr>
              <w:pStyle w:val="Compact"/>
              <w:jc w:val="left"/>
            </w:pPr>
            <w:r>
              <w:t xml:space="preserve">Sum of \'Total Carbon\' from BOM.</w:t>
            </w:r>
          </w:p>
        </w:tc>
        <w:tc>
          <w:tcPr/>
          <w:p>
            <w:pPr>
              <w:pStyle w:val="Compact"/>
              <w:jc w:val="left"/>
            </w:pPr>
            <w:r>
              <w:t xml:space="preserve">6.536</w:t>
            </w:r>
          </w:p>
        </w:tc>
        <w:tc>
          <w:tcPr/>
          <w:p>
            <w:pPr>
              <w:pStyle w:val="Compact"/>
              <w:jc w:val="left"/>
            </w:pPr>
            <w:r>
              <w:t xml:space="preserve">Scope 3 (Upstream)</w:t>
            </w:r>
          </w:p>
        </w:tc>
      </w:tr>
      <w:tr>
        <w:tc>
          <w:tcPr/>
          <w:p>
            <w:pPr>
              <w:pStyle w:val="Compact"/>
              <w:jc w:val="left"/>
            </w:pPr>
            <w:r>
              <w:rPr>
                <w:bCs/>
                <w:b/>
              </w:rPr>
              <w:t xml:space="preserve">Production</w:t>
            </w:r>
          </w:p>
        </w:tc>
        <w:tc>
          <w:tcPr/>
          <w:p>
            <w:pPr>
              <w:pStyle w:val="Compact"/>
              <w:jc w:val="left"/>
            </w:pPr>
            <w:r>
              <w:t xml:space="preserve">Energy consumption at the manufacturing facility in China.</w:t>
            </w:r>
          </w:p>
        </w:tc>
        <w:tc>
          <w:tcPr/>
          <w:p>
            <w:pPr>
              <w:pStyle w:val="Compact"/>
              <w:jc w:val="left"/>
            </w:pPr>
            <w:r>
              <w:t xml:space="preserve">0.75 kWh/unit * (1 - 70% renewable) * 0.5 kgCO2e/kWh (China grid mix)</w:t>
            </w:r>
          </w:p>
        </w:tc>
        <w:tc>
          <w:tcPr/>
          <w:p>
            <w:pPr>
              <w:pStyle w:val="Compact"/>
              <w:jc w:val="left"/>
            </w:pPr>
            <w:r>
              <w:t xml:space="preserve">0.113</w:t>
            </w:r>
          </w:p>
        </w:tc>
        <w:tc>
          <w:tcPr/>
          <w:p>
            <w:pPr>
              <w:pStyle w:val="Compact"/>
              <w:jc w:val="left"/>
            </w:pPr>
            <w:r>
              <w:t xml:space="preserve">Scope 2</w:t>
            </w:r>
          </w:p>
        </w:tc>
      </w:tr>
      <w:tr>
        <w:tc>
          <w:tcPr/>
          <w:p>
            <w:pPr>
              <w:pStyle w:val="Compact"/>
              <w:jc w:val="left"/>
            </w:pPr>
            <w:r>
              <w:rPr>
                <w:bCs/>
                <w:b/>
              </w:rPr>
              <w:t xml:space="preserve">Transportation (Inbound/Outbound)</w:t>
            </w:r>
          </w:p>
        </w:tc>
        <w:tc>
          <w:tcPr/>
          <w:p>
            <w:pPr>
              <w:pStyle w:val="Compact"/>
              <w:jc w:val="left"/>
            </w:pPr>
            <w:r>
              <w:t xml:space="preserve">Main haul (Road Freight) + Last-Mile (Parcel Van).</w:t>
            </w:r>
          </w:p>
        </w:tc>
        <w:tc>
          <w:tcPr/>
          <w:p>
            <w:pPr>
              <w:pStyle w:val="Compact"/>
              <w:jc w:val="left"/>
            </w:pPr>
            <w:r>
              <w:t xml:space="preserve">(1 kg * 1500 km * 0.1 kgCO2e/tonne-km / 1000 kg/tonne) + (1 unit * 50 km * 0.01 kgCO2e/km)</w:t>
            </w:r>
          </w:p>
        </w:tc>
        <w:tc>
          <w:tcPr/>
          <w:p>
            <w:pPr>
              <w:pStyle w:val="Compact"/>
              <w:jc w:val="left"/>
            </w:pPr>
            <w:r>
              <w:t xml:space="preserve">0.650</w:t>
            </w:r>
          </w:p>
        </w:tc>
        <w:tc>
          <w:tcPr/>
          <w:p>
            <w:pPr>
              <w:pStyle w:val="Compact"/>
              <w:jc w:val="left"/>
            </w:pPr>
            <w:r>
              <w:t xml:space="preserve">Scope 3 (Upstream &amp; Downstream)</w:t>
            </w:r>
          </w:p>
        </w:tc>
      </w:tr>
      <w:tr>
        <w:tc>
          <w:tcPr/>
          <w:p>
            <w:pPr>
              <w:pStyle w:val="Compact"/>
              <w:jc w:val="left"/>
            </w:pPr>
            <w:r>
              <w:rPr>
                <w:bCs/>
                <w:b/>
              </w:rPr>
              <w:t xml:space="preserve">Use Phase</w:t>
            </w:r>
          </w:p>
        </w:tc>
        <w:tc>
          <w:tcPr/>
          <w:p>
            <w:pPr>
              <w:pStyle w:val="Compact"/>
              <w:jc w:val="left"/>
            </w:pPr>
            <w:r>
              <w:t xml:space="preserve">Energy consumption during the product\'s 3-year lifespan by the end-user.</w:t>
            </w:r>
          </w:p>
        </w:tc>
        <w:tc>
          <w:tcPr/>
          <w:p>
            <w:pPr>
              <w:pStyle w:val="Compact"/>
              <w:jc w:val="left"/>
            </w:pPr>
            <w:r>
              <w:t xml:space="preserve">3 years * 5 kWh/year * 0.3 kgCO2e/kWh (Europe grid mix)</w:t>
            </w:r>
          </w:p>
        </w:tc>
        <w:tc>
          <w:tcPr/>
          <w:p>
            <w:pPr>
              <w:pStyle w:val="Compact"/>
              <w:jc w:val="left"/>
            </w:pPr>
            <w:r>
              <w:t xml:space="preserve">4.500</w:t>
            </w:r>
          </w:p>
        </w:tc>
        <w:tc>
          <w:tcPr/>
          <w:p>
            <w:pPr>
              <w:pStyle w:val="Compact"/>
              <w:jc w:val="left"/>
            </w:pPr>
            <w:r>
              <w:t xml:space="preserve">Scope 3 (Downstream)</w:t>
            </w:r>
          </w:p>
        </w:tc>
      </w:tr>
      <w:tr>
        <w:tc>
          <w:tcPr/>
          <w:p>
            <w:pPr>
              <w:pStyle w:val="Compact"/>
              <w:jc w:val="left"/>
            </w:pPr>
            <w:r>
              <w:rPr>
                <w:bCs/>
                <w:b/>
              </w:rPr>
              <w:t xml:space="preserve">End-of-Life (EoL)</w:t>
            </w:r>
          </w:p>
        </w:tc>
        <w:tc>
          <w:tcPr/>
          <w:p>
            <w:pPr>
              <w:pStyle w:val="Compact"/>
              <w:jc w:val="left"/>
            </w:pPr>
            <w:r>
              <w:t xml:space="preserve">Disposal of non-recyclable parts and processing of recyclable materials.</w:t>
            </w:r>
          </w:p>
        </w:tc>
        <w:tc>
          <w:tcPr/>
          <w:p>
            <w:pPr>
              <w:pStyle w:val="Compact"/>
              <w:jc w:val="left"/>
            </w:pPr>
            <w:r>
              <w:t xml:space="preserve">1 kg total mass * (1 - 85% recyclability) * 0.5 kgCO2e/kg waste</w:t>
            </w:r>
          </w:p>
        </w:tc>
        <w:tc>
          <w:tcPr/>
          <w:p>
            <w:pPr>
              <w:pStyle w:val="Compact"/>
              <w:jc w:val="left"/>
            </w:pPr>
            <w:r>
              <w:t xml:space="preserve">0.075</w:t>
            </w:r>
          </w:p>
        </w:tc>
        <w:tc>
          <w:tcPr/>
          <w:p>
            <w:pPr>
              <w:pStyle w:val="Compact"/>
              <w:jc w:val="left"/>
            </w:pPr>
            <w:r>
              <w:t xml:space="preserve">Scope 3 (Downstream)</w:t>
            </w:r>
          </w:p>
        </w:tc>
      </w:tr>
    </w:tbl>
    <w:bookmarkEnd w:id="36"/>
    <w:bookmarkStart w:id="37" w:name="X9b435f9006cf04294f943c0bc3e88ac8be6bd1a"/>
    <w:p>
      <w:pPr>
        <w:pStyle w:val="Heading3"/>
      </w:pPr>
      <w:r>
        <w:t xml:space="preserve">Total Product Carbon Footprint (Illustrative)</w:t>
      </w:r>
    </w:p>
    <w:p>
      <w:pPr>
        <w:pStyle w:val="FirstParagraph"/>
      </w:pPr>
      <w:r>
        <w:t xml:space="preserve">The estimated total Product Carbon Footprint for 1.0 unit of lootudnnyg is:</w:t>
      </w:r>
    </w:p>
    <w:p>
      <w:pPr>
        <w:pStyle w:val="BodyText"/>
      </w:pPr>
      <w:r>
        <w:t xml:space="preserve">Total PCF: 11.874 kg CO2e per functional unit</w:t>
      </w:r>
    </w:p>
    <w:bookmarkEnd w:id="37"/>
    <w:bookmarkStart w:id="38" w:name="key-emission-hotspots"/>
    <w:p>
      <w:pPr>
        <w:pStyle w:val="Heading3"/>
      </w:pPr>
      <w:r>
        <w:t xml:space="preserve">Key Emission Hotspots</w:t>
      </w:r>
    </w:p>
    <w:p>
      <w:pPr>
        <w:pStyle w:val="FirstParagraph"/>
      </w:pPr>
      <w:r>
        <w:t xml:space="preserve">Based on this illustrative analysis, the primary emission hotspots for lootudnnyg are:</w:t>
      </w:r>
    </w:p>
    <w:p>
      <w:pPr>
        <w:numPr>
          <w:ilvl w:val="0"/>
          <w:numId w:val="1008"/>
        </w:numPr>
        <w:pStyle w:val="Compact"/>
      </w:pPr>
      <w:r>
        <w:rPr>
          <w:bCs/>
          <w:b/>
        </w:rPr>
        <w:t xml:space="preserve">Materials (Upstream):</w:t>
      </w:r>
      <w:r>
        <w:t xml:space="preserve"> </w:t>
      </w:r>
      <w:r>
        <w:t xml:space="preserve">Accounting for approximately 55% of the total footprint, material acquisition and processing, particularly for aluminum and circuit boards, are significant contributors. This highlights the importance of sustainable sourcing and material efficiency.</w:t>
      </w:r>
    </w:p>
    <w:p>
      <w:pPr>
        <w:numPr>
          <w:ilvl w:val="0"/>
          <w:numId w:val="1008"/>
        </w:numPr>
        <w:pStyle w:val="Compact"/>
      </w:pPr>
      <w:r>
        <w:rPr>
          <w:bCs/>
          <w:b/>
        </w:rPr>
        <w:t xml:space="preserve">Use Phase:</w:t>
      </w:r>
      <w:r>
        <w:t xml:space="preserve"> </w:t>
      </w:r>
      <w:r>
        <w:t xml:space="preserve">Representing about 38% of the total PCF, the energy consumption during the product\'s operational lifespan is a major factor. This underscores the need for energy-efficient design.</w:t>
      </w:r>
    </w:p>
    <w:p>
      <w:pPr>
        <w:numPr>
          <w:ilvl w:val="0"/>
          <w:numId w:val="1008"/>
        </w:numPr>
        <w:pStyle w:val="Compact"/>
      </w:pPr>
      <w:r>
        <w:rPr>
          <w:bCs/>
          <w:b/>
        </w:rPr>
        <w:t xml:space="preserve">Transportation:</w:t>
      </w:r>
      <w:r>
        <w:t xml:space="preserve"> </w:t>
      </w:r>
      <w:r>
        <w:t xml:space="preserve">While less impactful than materials or use phase, transportation contributes to the footprint, especially last-mile delivery.</w:t>
      </w:r>
    </w:p>
    <w:bookmarkEnd w:id="38"/>
    <w:bookmarkEnd w:id="39"/>
    <w:p>
      <w:r>
        <w:pict>
          <v:rect style="width:0;height:1.5pt" o:hralign="center" o:hrstd="t" o:hr="t"/>
        </w:pict>
      </w:r>
    </w:p>
    <w:bookmarkStart w:id="40" w:name="recommendations-for-emission-reduction"/>
    <w:p>
      <w:pPr>
        <w:pStyle w:val="Heading2"/>
      </w:pPr>
      <w:r>
        <w:t xml:space="preserve">Recommendations for Emission Reduction</w:t>
      </w:r>
    </w:p>
    <w:p>
      <w:pPr>
        <w:pStyle w:val="FirstParagraph"/>
      </w:pPr>
      <w:r>
        <w:t xml:space="preserve">Based on the analysis, tvmpmimiji can focus on the following areas to reduce the carbon footprint of lootudnnyg:</w:t>
      </w:r>
    </w:p>
    <w:p>
      <w:pPr>
        <w:numPr>
          <w:ilvl w:val="0"/>
          <w:numId w:val="1009"/>
        </w:numPr>
        <w:pStyle w:val="Compact"/>
      </w:pPr>
      <w:r>
        <w:rPr>
          <w:bCs/>
          <w:b/>
        </w:rPr>
        <w:t xml:space="preserve">Material Optimization:</w:t>
      </w:r>
    </w:p>
    <w:p>
      <w:pPr>
        <w:numPr>
          <w:ilvl w:val="1"/>
          <w:numId w:val="1010"/>
        </w:numPr>
        <w:pStyle w:val="Compact"/>
      </w:pPr>
      <w:r>
        <w:t xml:space="preserve">Explore lower-carbon alternative materials or recycled content for the aluminum casing and other high-impact components.</w:t>
      </w:r>
    </w:p>
    <w:p>
      <w:pPr>
        <w:numPr>
          <w:ilvl w:val="1"/>
          <w:numId w:val="1010"/>
        </w:numPr>
        <w:pStyle w:val="Compact"/>
      </w:pPr>
      <w:r>
        <w:t xml:space="preserve">Optimize product design to reduce material quantity without compromising functionality.</w:t>
      </w:r>
    </w:p>
    <w:p>
      <w:pPr>
        <w:numPr>
          <w:ilvl w:val="1"/>
          <w:numId w:val="1010"/>
        </w:numPr>
        <w:pStyle w:val="Compact"/>
      </w:pPr>
      <w:r>
        <w:t xml:space="preserve">Engage with suppliers to understand and reduce the embodied carbon of purchased components.</w:t>
      </w:r>
    </w:p>
    <w:p>
      <w:pPr>
        <w:numPr>
          <w:ilvl w:val="0"/>
          <w:numId w:val="1009"/>
        </w:numPr>
        <w:pStyle w:val="Compact"/>
      </w:pPr>
      <w:r>
        <w:rPr>
          <w:bCs/>
          <w:b/>
        </w:rPr>
        <w:t xml:space="preserve">Energy Efficiency in Use Phase:</w:t>
      </w:r>
    </w:p>
    <w:p>
      <w:pPr>
        <w:numPr>
          <w:ilvl w:val="1"/>
          <w:numId w:val="1011"/>
        </w:numPr>
        <w:pStyle w:val="Compact"/>
      </w:pPr>
      <w:r>
        <w:t xml:space="preserve">Implement design changes to significantly reduce the energy consumption of lootudnnyg during its operational life.</w:t>
      </w:r>
    </w:p>
    <w:p>
      <w:pPr>
        <w:numPr>
          <w:ilvl w:val="1"/>
          <w:numId w:val="1011"/>
        </w:numPr>
        <w:pStyle w:val="Compact"/>
      </w:pPr>
      <w:r>
        <w:t xml:space="preserve">Educate end-users on energy-efficient usage patterns.</w:t>
      </w:r>
    </w:p>
    <w:p>
      <w:pPr>
        <w:numPr>
          <w:ilvl w:val="0"/>
          <w:numId w:val="1009"/>
        </w:numPr>
        <w:pStyle w:val="Compact"/>
      </w:pPr>
      <w:r>
        <w:rPr>
          <w:bCs/>
          <w:b/>
        </w:rPr>
        <w:t xml:space="preserve">Supply Chain Logistics:</w:t>
      </w:r>
    </w:p>
    <w:p>
      <w:pPr>
        <w:numPr>
          <w:ilvl w:val="1"/>
          <w:numId w:val="1012"/>
        </w:numPr>
        <w:pStyle w:val="Compact"/>
      </w:pPr>
      <w:r>
        <w:t xml:space="preserve">Optimize transport routes and modes, prioritizing lower-emission options (e.g., rail or sea freight over long-haul road transport where feasible).</w:t>
      </w:r>
    </w:p>
    <w:p>
      <w:pPr>
        <w:numPr>
          <w:ilvl w:val="1"/>
          <w:numId w:val="1012"/>
        </w:numPr>
        <w:pStyle w:val="Compact"/>
      </w:pPr>
      <w:r>
        <w:t xml:space="preserve">Consolidate shipments to improve transport efficiency.</w:t>
      </w:r>
    </w:p>
    <w:p>
      <w:pPr>
        <w:numPr>
          <w:ilvl w:val="1"/>
          <w:numId w:val="1012"/>
        </w:numPr>
        <w:pStyle w:val="Compact"/>
      </w:pPr>
      <w:r>
        <w:t xml:space="preserve">Investigate local sourcing options to reduce transport distances.</w:t>
      </w:r>
    </w:p>
    <w:p>
      <w:pPr>
        <w:numPr>
          <w:ilvl w:val="0"/>
          <w:numId w:val="1009"/>
        </w:numPr>
        <w:pStyle w:val="Compact"/>
      </w:pPr>
      <w:r>
        <w:rPr>
          <w:bCs/>
          <w:b/>
        </w:rPr>
        <w:t xml:space="preserve">Circular Economy Strategies:</w:t>
      </w:r>
    </w:p>
    <w:p>
      <w:pPr>
        <w:numPr>
          <w:ilvl w:val="1"/>
          <w:numId w:val="1013"/>
        </w:numPr>
        <w:pStyle w:val="Compact"/>
      </w:pPr>
      <w:r>
        <w:t xml:space="preserve">Further enhance existing take-back and recycling programs to maximize material recovery and reduce waste going to landfill.</w:t>
      </w:r>
    </w:p>
    <w:p>
      <w:pPr>
        <w:numPr>
          <w:ilvl w:val="1"/>
          <w:numId w:val="1013"/>
        </w:numPr>
        <w:pStyle w:val="Compact"/>
      </w:pPr>
      <w:r>
        <w:t xml:space="preserve">Explore opportunities for product refurbishment, repair, or remanufacturing to extend product lifespan.</w:t>
      </w:r>
    </w:p>
    <w:p>
      <w:pPr>
        <w:numPr>
          <w:ilvl w:val="1"/>
          <w:numId w:val="1013"/>
        </w:numPr>
        <w:pStyle w:val="Compact"/>
      </w:pPr>
      <w:r>
        <w:t xml:space="preserve">Design for disassembly and repairability to facilitate easier recycling and component reuse.</w:t>
      </w:r>
    </w:p>
    <w:p>
      <w:pPr>
        <w:numPr>
          <w:ilvl w:val="0"/>
          <w:numId w:val="1009"/>
        </w:numPr>
        <w:pStyle w:val="Compact"/>
      </w:pPr>
      <w:r>
        <w:rPr>
          <w:bCs/>
          <w:b/>
        </w:rPr>
        <w:t xml:space="preserve">Renewable Energy Adoption:</w:t>
      </w:r>
    </w:p>
    <w:p>
      <w:pPr>
        <w:numPr>
          <w:ilvl w:val="1"/>
          <w:numId w:val="1014"/>
        </w:numPr>
        <w:pStyle w:val="Compact"/>
      </w:pPr>
      <w:r>
        <w:t xml:space="preserve">Increase the proportion of renewable energy used in tvmpmimiji\'s own manufacturing operations.</w:t>
      </w:r>
    </w:p>
    <w:p>
      <w:pPr>
        <w:numPr>
          <w:ilvl w:val="1"/>
          <w:numId w:val="1014"/>
        </w:numPr>
        <w:pStyle w:val="Compact"/>
      </w:pPr>
      <w:r>
        <w:t xml:space="preserve">Encourage key suppliers to transition to renewable energy sources.</w:t>
      </w:r>
    </w:p>
    <w:bookmarkEnd w:id="40"/>
    <w:p>
      <w:r>
        <w:pict>
          <v:rect style="width:0;height:1.5pt" o:hralign="center" o:hrstd="t" o:hr="t"/>
        </w:pict>
      </w:r>
    </w:p>
    <w:bookmarkStart w:id="41" w:name="conclusion"/>
    <w:p>
      <w:pPr>
        <w:pStyle w:val="Heading2"/>
      </w:pPr>
      <w:r>
        <w:t xml:space="preserve">Conclusion</w:t>
      </w:r>
    </w:p>
    <w:p>
      <w:pPr>
        <w:pStyle w:val="FirstParagraph"/>
      </w:pPr>
      <w:r>
        <w:t xml:space="preserve">This high-detail Product Carbon Footprint analysis for lootudnnyg provides tvmpmimiji with a critical understanding of its environmental impact across the product\'s lifecycle. By focusing on material choices, energy efficiency in use, and continuous improvement in circular economy practices, tvmpmimiji can strategically reduce its GHG emissions, enhance its sustainability credentials, and contribute to global climate goals. The adherence to the GHG Protocol and the 2026 LSR update ensures a robust and future-proof approach to carbon accounting.</w:t>
      </w:r>
    </w:p>
    <w:bookmarkEnd w:id="41"/>
    <w:p>
      <w:r>
        <w:pict>
          <v:rect style="width:0;height:1.5pt" o:hralign="center" o:hrstd="t" o:hr="t"/>
        </w:pict>
      </w:r>
    </w:p>
    <w:p>
      <w:pPr>
        <w:pStyle w:val="FirstParagraph"/>
      </w:pPr>
      <w:r>
        <w:t xml:space="preserve">Confidential - Internal Use Only | Page</w:t>
      </w:r>
      <w:r>
        <w:t xml:space="preserve"> </w:t>
      </w:r>
      <w:r>
        <w:t xml:space="preserve">1</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(PCF) Analysis Report for lootudnnyg</dc:title>
  <dc:creator/>
  <dc:description>Detailed Product Carbon Footprint (PCF) analysis report for lootudnnyg by irxoeojexl for tvmpmimiji, adhering to GHG Protocol and 2026 LSR update, covering Scope 1, 2, and 3 emissions.</dc:description>
  <dc:language>en</dc:language>
  <cp:keywords/>
  <dcterms:created xsi:type="dcterms:W3CDTF">2026-07-15T08:16:40Z</dcterms:created>
  <dcterms:modified xsi:type="dcterms:W3CDTF">2026-07-15T08:16:40Z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