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lkwuzlkpkg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lkwuzlkpkg</w:t>
      </w:r>
    </w:p>
    <w:p>
      <w:pPr>
        <w:pStyle w:val="BodyText"/>
      </w:pPr>
      <w:r>
        <w:rPr>
          <w:bCs/>
          <w:b/>
        </w:rPr>
        <w:t xml:space="preserve">Company:</w:t>
      </w:r>
      <w:r>
        <w:t xml:space="preserve"> </w:t>
      </w:r>
      <w:r>
        <w:t xml:space="preserve">jrgfoorrhx</w:t>
      </w:r>
    </w:p>
    <w:p>
      <w:pPr>
        <w:pStyle w:val="BodyText"/>
      </w:pPr>
      <w:r>
        <w:rPr>
          <w:bCs/>
          <w:b/>
        </w:rPr>
        <w:t xml:space="preserve">Senior Sustainability Consultant:</w:t>
      </w:r>
      <w:r>
        <w:t xml:space="preserve"> </w:t>
      </w:r>
      <w:r>
        <w:t xml:space="preserve">xgxqrlnggu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 Accuracy is dependent on the completeness and quality of input data.</w:t>
      </w:r>
    </w:p>
    <w:bookmarkEnd w:id="20"/>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lkwuzlkpkg</w:t>
      </w:r>
      <w:r>
        <w:t xml:space="preserve">, manufactured by</w:t>
      </w:r>
      <w:r>
        <w:t xml:space="preserve"> </w:t>
      </w:r>
      <w:r>
        <w:rPr>
          <w:bCs/>
          <w:b/>
        </w:rPr>
        <w:t xml:space="preserve">jrgfoorrhx</w:t>
      </w:r>
      <w:r>
        <w:t xml:space="preserve">. Prepared by Senior Sustainability Consultant</w:t>
      </w:r>
      <w:r>
        <w:t xml:space="preserve"> </w:t>
      </w:r>
      <w:r>
        <w:rPr>
          <w:bCs/>
          <w:b/>
        </w:rPr>
        <w:t xml:space="preserve">xgxqrlnggu</w:t>
      </w:r>
      <w:r>
        <w:t xml:space="preserve">, this analysis adheres to the Greenhouse Gas (GHG) Protocol, including considerations for the upcoming 2026 Land Sector and Removals (LSR) Standard update and stringent Scope 3 reporting requirements. The objective is to quantify the greenhouse gas emissions across the product\'s lifecycle, from raw material extraction to end-of-life, identify key hotspots, and provide a foundation for targeted emission reduction strategies.</w:t>
      </w:r>
    </w:p>
    <w:p>
      <w:r>
        <w:pict>
          <v:rect style="width:0;height:1.5pt" o:hralign="center" o:hrstd="t" o:hr="t"/>
        </w:pict>
      </w:r>
    </w:p>
    <w:bookmarkEnd w:id="21"/>
    <w:bookmarkStart w:id="23" w:name="methodology"/>
    <w:p>
      <w:pPr>
        <w:pStyle w:val="Heading1"/>
      </w:pPr>
      <w:r>
        <w:t xml:space="preserve">1. Methodology</w:t>
      </w:r>
    </w:p>
    <w:p>
      <w:pPr>
        <w:pStyle w:val="FirstParagraph"/>
      </w:pPr>
      <w:r>
        <w:t xml:space="preserve">The Product Carbon Footprint (PCF) analysis was conducted following a robust five-step methodology, fully aligned with the principles and requirements of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 cycle inventory stages, from raw material sourcing to end-of-life.</w:t>
      </w:r>
    </w:p>
    <w:p>
      <w:pPr>
        <w:numPr>
          <w:ilvl w:val="0"/>
          <w:numId w:val="1001"/>
        </w:numPr>
        <w:pStyle w:val="Compact"/>
      </w:pPr>
      <w:r>
        <w:rPr>
          <w:bCs/>
          <w:b/>
        </w:rPr>
        <w:t xml:space="preserve">Collect Data:</w:t>
      </w:r>
      <w:r>
        <w:t xml:space="preserve"> </w:t>
      </w:r>
      <w:r>
        <w:t xml:space="preserve">Gather specific primary and secondary data points for each lifecycle stage.</w:t>
      </w:r>
    </w:p>
    <w:p>
      <w:pPr>
        <w:numPr>
          <w:ilvl w:val="0"/>
          <w:numId w:val="1001"/>
        </w:numPr>
        <w:pStyle w:val="Compact"/>
      </w:pPr>
      <w:r>
        <w:rPr>
          <w:bCs/>
          <w:b/>
        </w:rPr>
        <w:t xml:space="preserve">Calculate Emissions:</w:t>
      </w:r>
      <w:r>
        <w:t xml:space="preserve"> </w:t>
      </w:r>
      <w:r>
        <w:t xml:space="preserve">Quantify greenhouse gas emissions using activity data multiplied by appropriate emission factors (Activity Data × Emission Factor = CO2e).</w:t>
      </w:r>
    </w:p>
    <w:p>
      <w:pPr>
        <w:numPr>
          <w:ilvl w:val="0"/>
          <w:numId w:val="1001"/>
        </w:numPr>
        <w:pStyle w:val="Compact"/>
      </w:pPr>
      <w:r>
        <w:rPr>
          <w:bCs/>
          <w:b/>
        </w:rPr>
        <w:t xml:space="preserve">Review &amp; Report:</w:t>
      </w:r>
      <w:r>
        <w:t xml:space="preserve"> </w:t>
      </w:r>
      <w:r>
        <w:t xml:space="preserve">Analyze results to identify emission hotspots, assess data reliability, and compile a comprehensive report.</w:t>
      </w:r>
    </w:p>
    <w:bookmarkStart w:id="22" w:name="X25ab271e0b973df754491ec5ddcb2d245f47eaf"/>
    <w:p>
      <w:pPr>
        <w:pStyle w:val="Heading2"/>
      </w:pPr>
      <w:r>
        <w:t xml:space="preserve">1.1. GHG Protocol Adherence and 2026 LSR Update</w:t>
      </w:r>
    </w:p>
    <w:p>
      <w:pPr>
        <w:pStyle w:val="FirstParagraph"/>
      </w:pPr>
      <w:r>
        <w:t xml:space="preserve">This analysis strictly adheres to the GHG Protocol, categorizing emissions into three distinct scopes:</w:t>
      </w:r>
    </w:p>
    <w:p>
      <w:pPr>
        <w:numPr>
          <w:ilvl w:val="0"/>
          <w:numId w:val="1002"/>
        </w:numPr>
        <w:pStyle w:val="Compact"/>
      </w:pPr>
      <w:r>
        <w:rPr>
          <w:bCs/>
          <w:b/>
        </w:rPr>
        <w:t xml:space="preserve">Scope 1: Direct Emissions.</w:t>
      </w:r>
      <w:r>
        <w:t xml:space="preserve"> </w:t>
      </w:r>
      <w:r>
        <w:t xml:space="preserve">Emissions from sources owned or controlled by</w:t>
      </w:r>
      <w:r>
        <w:t xml:space="preserve"> </w:t>
      </w:r>
      <w:r>
        <w:rPr>
          <w:bCs/>
          <w:b/>
        </w:rPr>
        <w:t xml:space="preserve">jrgfoorrhx</w:t>
      </w:r>
      <w:r>
        <w:t xml:space="preserve"> </w:t>
      </w:r>
      <w:r>
        <w:t xml:space="preserve">(e.g., direct fuel combustion in manufacturing).</w:t>
      </w:r>
    </w:p>
    <w:p>
      <w:pPr>
        <w:numPr>
          <w:ilvl w:val="0"/>
          <w:numId w:val="1002"/>
        </w:numPr>
        <w:pStyle w:val="Compact"/>
      </w:pPr>
      <w:r>
        <w:rPr>
          <w:bCs/>
          <w:b/>
        </w:rPr>
        <w:t xml:space="preserve">Scope 2: Indirect Emissions from Purchased Energy.</w:t>
      </w:r>
      <w:r>
        <w:t xml:space="preserve"> </w:t>
      </w:r>
      <w:r>
        <w:t xml:space="preserve">Emissions from the generation of purchased electricity, heat, or steam consumed by</w:t>
      </w:r>
      <w:r>
        <w:t xml:space="preserve"> </w:t>
      </w:r>
      <w:r>
        <w:rPr>
          <w:bCs/>
          <w:b/>
        </w:rPr>
        <w:t xml:space="preserve">jrgfoorrhx</w:t>
      </w:r>
      <w:r>
        <w:t xml:space="preserve"> </w:t>
      </w:r>
      <w:r>
        <w:t xml:space="preserve">during manufacturing.</w:t>
      </w:r>
    </w:p>
    <w:p>
      <w:pPr>
        <w:numPr>
          <w:ilvl w:val="0"/>
          <w:numId w:val="1002"/>
        </w:numPr>
        <w:pStyle w:val="Compact"/>
      </w:pPr>
      <w:r>
        <w:rPr>
          <w:bCs/>
          <w:b/>
        </w:rPr>
        <w:t xml:space="preserve">Scope 3: Other Indirect Emissions.</w:t>
      </w:r>
      <w:r>
        <w:t xml:space="preserve"> </w:t>
      </w:r>
      <w:r>
        <w:t xml:space="preserve">All other indirect emissions occurring in the value chain, both upstream and downstream, not owned or controlled by</w:t>
      </w:r>
      <w:r>
        <w:t xml:space="preserve"> </w:t>
      </w:r>
      <w:r>
        <w:rPr>
          <w:bCs/>
          <w:b/>
        </w:rPr>
        <w:t xml:space="preserve">jrgfoorrhx</w:t>
      </w:r>
      <w:r>
        <w:t xml:space="preserve">. This typically accounts for 70-90% of a company\'s total carbon footprint. This report ensures at least 95% coverage for Scope 3 reporting, as per anticipated 2026 requirements, to provide a comprehensive view of the product\'s value chain impact.</w:t>
      </w:r>
    </w:p>
    <w:p>
      <w:pPr>
        <w:pStyle w:val="FirstParagraph"/>
      </w:pPr>
      <w:r>
        <w:t xml:space="preserve">The 2026 Land Sector and Removals (LSR) Standard, effective January 1, 2027, is recognized and conceptually incorporated. This standard provides accounting requirements and guidance for quantifying, reporting, and tracking land emissions, CO2 removals, and other key metrics, including technological CO2 removals and CO2 capture with geologic storage. While direct land-use change for the specific product</w:t>
      </w:r>
      <w:r>
        <w:t xml:space="preserve"> </w:t>
      </w:r>
      <w:r>
        <w:rPr>
          <w:bCs/>
          <w:b/>
        </w:rPr>
        <w:t xml:space="preserve">lkwuzlkpkg</w:t>
      </w:r>
      <w:r>
        <w:t xml:space="preserve"> </w:t>
      </w:r>
      <w:r>
        <w:t xml:space="preserve">is not a primary focus given its nature as a manufactured good, the principles of transparent accounting for biogenic carbon and removals are acknowledged for future reporting enhancements, especially for companies with significant land sector activities in their value chain.</w:t>
      </w:r>
    </w:p>
    <w:p>
      <w:r>
        <w:pict>
          <v:rect style="width:0;height:1.5pt" o:hralign="center" o:hrstd="t" o:hr="t"/>
        </w:pict>
      </w:r>
    </w:p>
    <w:bookmarkEnd w:id="22"/>
    <w:bookmarkEnd w:id="23"/>
    <w:bookmarkStart w:id="26" w:name="scope-definition-lifecycle-mapping"/>
    <w:p>
      <w:pPr>
        <w:pStyle w:val="Heading1"/>
      </w:pPr>
      <w:r>
        <w:t xml:space="preserve">2. Scope Definition &amp; Lifecycle Mapping</w:t>
      </w:r>
    </w:p>
    <w:bookmarkStart w:id="24" w:name="defined-scope"/>
    <w:p>
      <w:pPr>
        <w:pStyle w:val="Heading2"/>
      </w:pPr>
      <w:r>
        <w:t xml:space="preserve">2.1. Defined Scope</w:t>
      </w:r>
    </w:p>
    <w:p>
      <w:pPr>
        <w:numPr>
          <w:ilvl w:val="0"/>
          <w:numId w:val="1003"/>
        </w:numPr>
        <w:pStyle w:val="Compact"/>
      </w:pPr>
      <w:r>
        <w:rPr>
          <w:bCs/>
          <w:b/>
        </w:rPr>
        <w:t xml:space="preserve">Functional Unit:</w:t>
      </w:r>
      <w:r>
        <w:t xml:space="preserve"> </w:t>
      </w:r>
      <w:r>
        <w:t xml:space="preserve">1.0 unit of</w:t>
      </w:r>
      <w:r>
        <w:t xml:space="preserve"> </w:t>
      </w:r>
      <w:r>
        <w:rPr>
          <w:bCs/>
          <w:b/>
        </w:rPr>
        <w:t xml:space="preserve">lkwuzlkpkg</w:t>
      </w:r>
      <w:r>
        <w:t xml:space="preserve">. This represents the reference unit for which the environmental impacts are quantified.</w:t>
      </w:r>
    </w:p>
    <w:p>
      <w:pPr>
        <w:numPr>
          <w:ilvl w:val="0"/>
          <w:numId w:val="1003"/>
        </w:numPr>
        <w:pStyle w:val="Compact"/>
      </w:pPr>
      <w:r>
        <w:rPr>
          <w:bCs/>
          <w:b/>
        </w:rPr>
        <w:t xml:space="preserve">System Boundary:</w:t>
      </w:r>
      <w:r>
        <w:t xml:space="preserve"> </w:t>
      </w:r>
      <w:r>
        <w:t xml:space="preserve">Cradle-to-grave with a "factory_gate" focus for direct operational emissions, extended to include comprehensive upstream (material acquisition, transport) and downstream (use phase, end-of-life) impacts. This covers raw material extraction, manufacturing, transportation, use, and end-of-life treatment.</w:t>
      </w:r>
    </w:p>
    <w:p>
      <w:pPr>
        <w:numPr>
          <w:ilvl w:val="0"/>
          <w:numId w:val="1003"/>
        </w:numPr>
        <w:pStyle w:val="Compact"/>
      </w:pPr>
      <w:r>
        <w:rPr>
          <w:bCs/>
          <w:b/>
        </w:rPr>
        <w:t xml:space="preserve">Geographic Scope:</w:t>
      </w:r>
      <w:r>
        <w:t xml:space="preserve"> </w:t>
      </w:r>
      <w:r>
        <w:t xml:space="preserve">Final Production Country: China, with a Supply Chain Focus on Europe. This informs the selection of regional electricity grid mixes and transport routes.</w:t>
      </w:r>
    </w:p>
    <w:p>
      <w:pPr>
        <w:numPr>
          <w:ilvl w:val="0"/>
          <w:numId w:val="1003"/>
        </w:numPr>
        <w:pStyle w:val="Compact"/>
      </w:pPr>
      <w:r>
        <w:rPr>
          <w:bCs/>
          <w:b/>
        </w:rPr>
        <w:t xml:space="preserve">Allocation:</w:t>
      </w:r>
      <w:r>
        <w:t xml:space="preserve"> </w:t>
      </w:r>
      <w:r>
        <w:t xml:space="preserve">Emissions are allocated based on mass for material inputs and directly attributable energy consumption and transport activities.</w:t>
      </w:r>
    </w:p>
    <w:bookmarkEnd w:id="24"/>
    <w:bookmarkStart w:id="25" w:name="lifecycle-inventory-stages-lci"/>
    <w:p>
      <w:pPr>
        <w:pStyle w:val="Heading2"/>
      </w:pPr>
      <w:r>
        <w:t xml:space="preserve">2.2. Lifecycle Inventory Stages (LCI)</w:t>
      </w:r>
    </w:p>
    <w:p>
      <w:pPr>
        <w:pStyle w:val="FirstParagraph"/>
      </w:pPr>
      <w:r>
        <w:t xml:space="preserve">The lifecycle of</w:t>
      </w:r>
      <w:r>
        <w:t xml:space="preserve"> </w:t>
      </w:r>
      <w:r>
        <w:rPr>
          <w:bCs/>
          <w:b/>
        </w:rPr>
        <w:t xml:space="preserve">lkwuzlkpkg</w:t>
      </w:r>
      <w:r>
        <w:t xml:space="preserve"> </w:t>
      </w:r>
      <w:r>
        <w:t xml:space="preserve">has been mapped into the following stages, facilitating detailed data collection and emission calculation:</w:t>
      </w:r>
    </w:p>
    <w:p>
      <w:pPr>
        <w:numPr>
          <w:ilvl w:val="0"/>
          <w:numId w:val="1004"/>
        </w:numPr>
        <w:pStyle w:val="Compact"/>
      </w:pPr>
      <w:r>
        <w:rPr>
          <w:bCs/>
          <w:b/>
        </w:rPr>
        <w:t xml:space="preserve">Raw Material Acquisition &amp; Pre-processing (Upstream - Scope 3, Category 1 - Purchased goods and services):</w:t>
      </w:r>
    </w:p>
    <w:p>
      <w:pPr>
        <w:numPr>
          <w:ilvl w:val="1"/>
          <w:numId w:val="1005"/>
        </w:numPr>
        <w:pStyle w:val="Compact"/>
      </w:pPr>
      <w:r>
        <w:t xml:space="preserve">Extraction, processing, and refining of all materials listed in the Detailed Bill of Materials (BOM).</w:t>
      </w:r>
    </w:p>
    <w:p>
      <w:pPr>
        <w:numPr>
          <w:ilvl w:val="0"/>
          <w:numId w:val="1004"/>
        </w:numPr>
        <w:pStyle w:val="Compact"/>
      </w:pPr>
      <w:r>
        <w:rPr>
          <w:bCs/>
          <w:b/>
        </w:rPr>
        <w:t xml:space="preserve">Manufacturing / Production (Direct Operations - Scope 1 &amp; 2; Upstream - Scope 3, Category 1 - Purchased goods and services):</w:t>
      </w:r>
    </w:p>
    <w:p>
      <w:pPr>
        <w:numPr>
          <w:ilvl w:val="1"/>
          <w:numId w:val="1006"/>
        </w:numPr>
        <w:pStyle w:val="Compact"/>
      </w:pPr>
      <w:r>
        <w:t xml:space="preserve">Energy consumption (electricity, heat, steam) at the manufacturing facility in China.</w:t>
      </w:r>
    </w:p>
    <w:p>
      <w:pPr>
        <w:numPr>
          <w:ilvl w:val="1"/>
          <w:numId w:val="1006"/>
        </w:numPr>
        <w:pStyle w:val="Compact"/>
      </w:pPr>
      <w:r>
        <w:t xml:space="preserve">Direct fuel consumption for on-site machinery (if applicable).</w:t>
      </w:r>
    </w:p>
    <w:p>
      <w:pPr>
        <w:numPr>
          <w:ilvl w:val="0"/>
          <w:numId w:val="1004"/>
        </w:numPr>
        <w:pStyle w:val="Compact"/>
      </w:pPr>
      <w:r>
        <w:rPr>
          <w:bCs/>
          <w:b/>
        </w:rPr>
        <w:t xml:space="preserve">Transportation (Upstream &amp; Downstream - Scope 3, Category 4 &amp; 9):</w:t>
      </w:r>
    </w:p>
    <w:p>
      <w:pPr>
        <w:numPr>
          <w:ilvl w:val="1"/>
          <w:numId w:val="1007"/>
        </w:numPr>
        <w:pStyle w:val="Compact"/>
      </w:pPr>
      <w:r>
        <w:rPr>
          <w:bCs/>
          <w:b/>
        </w:rPr>
        <w:t xml:space="preserve">Upstream:</w:t>
      </w:r>
      <w:r>
        <w:t xml:space="preserve"> </w:t>
      </w:r>
      <w:r>
        <w:t xml:space="preserve">Transport of raw materials and components from suppliers (Europe Focused) to the manufacturing facility in China.</w:t>
      </w:r>
    </w:p>
    <w:p>
      <w:pPr>
        <w:numPr>
          <w:ilvl w:val="1"/>
          <w:numId w:val="1007"/>
        </w:numPr>
        <w:pStyle w:val="Compact"/>
      </w:pPr>
      <w:r>
        <w:rPr>
          <w:bCs/>
          <w:b/>
        </w:rPr>
        <w:t xml:space="preserve">Downstream:</w:t>
      </w:r>
      <w:r>
        <w:t xml:space="preserve"> </w:t>
      </w:r>
      <w:r>
        <w:t xml:space="preserve">Transport of the finished product from the manufacturing facility in China to the consumer/distribution points (Europe Focused), including last-mile delivery.</w:t>
      </w:r>
    </w:p>
    <w:p>
      <w:pPr>
        <w:numPr>
          <w:ilvl w:val="0"/>
          <w:numId w:val="1004"/>
        </w:numPr>
        <w:pStyle w:val="Compact"/>
      </w:pPr>
      <w:r>
        <w:rPr>
          <w:bCs/>
          <w:b/>
        </w:rPr>
        <w:t xml:space="preserve">Use Phase (Downstream - Scope 3, Category 11 - Use of sold products):</w:t>
      </w:r>
    </w:p>
    <w:p>
      <w:pPr>
        <w:numPr>
          <w:ilvl w:val="1"/>
          <w:numId w:val="1008"/>
        </w:numPr>
        <w:pStyle w:val="Compact"/>
      </w:pPr>
      <w:r>
        <w:t xml:space="preserve">Energy consumption during the product\'s estimated lifespan by the end-user.</w:t>
      </w:r>
    </w:p>
    <w:p>
      <w:pPr>
        <w:numPr>
          <w:ilvl w:val="0"/>
          <w:numId w:val="1004"/>
        </w:numPr>
        <w:pStyle w:val="Compact"/>
      </w:pPr>
      <w:r>
        <w:rPr>
          <w:bCs/>
          <w:b/>
        </w:rPr>
        <w:t xml:space="preserve">End-of-Life (Downstream - Scope 3, Category 12 - End-of-life treatment of sold products):</w:t>
      </w:r>
    </w:p>
    <w:p>
      <w:pPr>
        <w:numPr>
          <w:ilvl w:val="1"/>
          <w:numId w:val="1009"/>
        </w:numPr>
        <w:pStyle w:val="Compact"/>
      </w:pPr>
      <w:r>
        <w:t xml:space="preserve">Disposal or recycling processes for the product and its components at the end of its useful life.</w:t>
      </w:r>
    </w:p>
    <w:p>
      <w:r>
        <w:pict>
          <v:rect style="width:0;height:1.5pt" o:hralign="center" o:hrstd="t" o:hr="t"/>
        </w:pict>
      </w:r>
    </w:p>
    <w:bookmarkEnd w:id="25"/>
    <w:bookmarkEnd w:id="26"/>
    <w:bookmarkStart w:id="36" w:name="data-collection-and-emission-calculation"/>
    <w:p>
      <w:pPr>
        <w:pStyle w:val="Heading1"/>
      </w:pPr>
      <w:r>
        <w:t xml:space="preserve">3. Data Collection and Emission Calculation</w:t>
      </w:r>
    </w:p>
    <w:bookmarkStart w:id="27" w:name="Xc71925bb542b532f82c4ad6a81323204e86d1a5"/>
    <w:p>
      <w:pPr>
        <w:pStyle w:val="Heading2"/>
      </w:pPr>
      <w:r>
        <w:t xml:space="preserve">3.1. Detailed Bill of Materials (BOM) Analysis (Scope 3, Category 1)</w:t>
      </w:r>
    </w:p>
    <w:p>
      <w:pPr>
        <w:pStyle w:val="FirstParagraph"/>
      </w:pPr>
      <w:r>
        <w:t xml:space="preserve">The provided Detailed Bill of Materials (BOM) for</w:t>
      </w:r>
      <w:r>
        <w:t xml:space="preserve"> </w:t>
      </w:r>
      <w:r>
        <w:rPr>
          <w:bCs/>
          <w:b/>
        </w:rPr>
        <w:t xml:space="preserve">lkwuzlkpkg</w:t>
      </w:r>
      <w:r>
        <w:t xml:space="preserve"> </w:t>
      </w:r>
      <w:r>
        <w:t xml:space="preserve">(`ohkdtgid`) was used for a high-accuracy material impact calculation. The \'Total Carbon\' values, which represent the pre-calculated emissions (Quantity × Emission Factor), are directly utilized for the material acquisition and pre-processing stage.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gridSpan w:val="7"/>
          </w:tcPr>
          <w:p>
            <w:pPr>
              <w:pStyle w:val="Compact"/>
              <w:jc w:val="right"/>
            </w:pPr>
            <w:r>
              <w:t xml:space="preserve">Total Material Impact:</w:t>
            </w:r>
          </w:p>
        </w:tc>
        <w:tc>
          <w:tcPr/>
          <w:p>
            <w:pPr>
              <w:pStyle w:val="Compact"/>
              <w:jc w:val="left"/>
            </w:pPr>
            <w:r>
              <w:t xml:space="preserve">2.75 kgCO2e</w:t>
            </w:r>
          </w:p>
        </w:tc>
      </w:tr>
    </w:tbl>
    <w:p>
      <w:pPr>
        <w:pStyle w:val="BodyText"/>
      </w:pPr>
      <w:r>
        <w:t xml:space="preserve">Based on the provided BOM, the total carbon footprint attributed to the raw material acquisition and manufacturing of components for one unit of</w:t>
      </w:r>
      <w:r>
        <w:t xml:space="preserve"> </w:t>
      </w:r>
      <w:r>
        <w:rPr>
          <w:bCs/>
          <w:b/>
        </w:rPr>
        <w:t xml:space="preserve">lkwuzlkpkg</w:t>
      </w:r>
      <w:r>
        <w:t xml:space="preserve"> </w:t>
      </w:r>
      <w:r>
        <w:t xml:space="preserve">is 2.75 kgCO2e.</w:t>
      </w:r>
    </w:p>
    <w:bookmarkEnd w:id="27"/>
    <w:bookmarkStart w:id="29" w:name="production-phase-emissions-scope-1-2"/>
    <w:p>
      <w:pPr>
        <w:pStyle w:val="Heading2"/>
      </w:pPr>
      <w:r>
        <w:t xml:space="preserve">3.2. Production Phase Emissions (Scope 1 &amp; 2)</w:t>
      </w:r>
    </w:p>
    <w:p>
      <w:pPr>
        <w:pStyle w:val="FirstParagraph"/>
      </w:pPr>
      <w:r>
        <w:t xml:space="preserve">Emissions from the production phase are calculated based on the energy intensity and renewable energy usage at the manufacturing facility in China.</w:t>
      </w:r>
    </w:p>
    <w:p>
      <w:pPr>
        <w:numPr>
          <w:ilvl w:val="0"/>
          <w:numId w:val="1010"/>
        </w:numPr>
        <w:pStyle w:val="Compact"/>
      </w:pPr>
      <w:r>
        <w:rPr>
          <w:bCs/>
          <w:b/>
        </w:rPr>
        <w:t xml:space="preserve">Energy Intensity (kWh/unit):</w:t>
      </w:r>
      <w:r>
        <w:t xml:space="preserve"> </w:t>
      </w:r>
      <w:r>
        <w:t xml:space="preserve">`ysdlfxuuoq` (e.g., 10 kWh/unit)</w:t>
      </w:r>
    </w:p>
    <w:p>
      <w:pPr>
        <w:numPr>
          <w:ilvl w:val="0"/>
          <w:numId w:val="1010"/>
        </w:numPr>
        <w:pStyle w:val="Compact"/>
      </w:pPr>
      <w:r>
        <w:rPr>
          <w:bCs/>
          <w:b/>
        </w:rPr>
        <w:t xml:space="preserve">Renewable Energy Usage (%):</w:t>
      </w:r>
      <w:r>
        <w:t xml:space="preserve"> </w:t>
      </w:r>
      <w:r>
        <w:t xml:space="preserve">`wysqhvirrt` (e.g., 50%)</w:t>
      </w:r>
    </w:p>
    <w:p>
      <w:pPr>
        <w:numPr>
          <w:ilvl w:val="0"/>
          <w:numId w:val="1010"/>
        </w:numPr>
        <w:pStyle w:val="Compact"/>
      </w:pPr>
      <w:r>
        <w:rPr>
          <w:bCs/>
          <w:b/>
        </w:rPr>
        <w:t xml:space="preserve">Non-Renewable Energy:</w:t>
      </w:r>
      <w:r>
        <w:t xml:space="preserve"> </w:t>
      </w:r>
      <w:r>
        <w:t xml:space="preserve">`ysdlfxuuoq` * (1 - `wysqhvirrt` / 100) = 10 kWh * (1 - 0.50) = 5 kWh/unit</w:t>
      </w:r>
    </w:p>
    <w:p>
      <w:pPr>
        <w:numPr>
          <w:ilvl w:val="0"/>
          <w:numId w:val="1010"/>
        </w:numPr>
        <w:pStyle w:val="Compact"/>
      </w:pPr>
      <w:r>
        <w:rPr>
          <w:bCs/>
          <w:b/>
        </w:rPr>
        <w:t xml:space="preserve">China Grid Mix Emission Factor:</w:t>
      </w:r>
      <w:r>
        <w:t xml:space="preserve"> </w:t>
      </w:r>
      <w:r>
        <w:t xml:space="preserve">Approximately 0.60 kgCO2e/kWh</w:t>
      </w:r>
    </w:p>
    <w:p>
      <w:pPr>
        <w:numPr>
          <w:ilvl w:val="0"/>
          <w:numId w:val="1010"/>
        </w:numPr>
        <w:pStyle w:val="Compact"/>
      </w:pPr>
      <w:r>
        <w:rPr>
          <w:bCs/>
          <w:b/>
        </w:rPr>
        <w:t xml:space="preserve">Assumed Direct Fuel Combustion (Scope 1):</w:t>
      </w:r>
      <w:r>
        <w:t xml:space="preserve"> </w:t>
      </w:r>
      <w:r>
        <w:t xml:space="preserve">For a typical manufacturing process, a small direct fuel combustion (e.g., for heating or specific machinery) might occur. Assuming 0.1 kgCO2e/unit as a conservative estimate if not explicitly provided.</w:t>
      </w:r>
    </w:p>
    <w:bookmarkStart w:id="28" w:name="calculation"/>
    <w:p>
      <w:pPr>
        <w:pStyle w:val="Heading3"/>
      </w:pPr>
      <w:r>
        <w:t xml:space="preserve">Calculation:</w:t>
      </w:r>
    </w:p>
    <w:p>
      <w:pPr>
        <w:numPr>
          <w:ilvl w:val="0"/>
          <w:numId w:val="1011"/>
        </w:numPr>
        <w:pStyle w:val="Compact"/>
      </w:pPr>
      <w:r>
        <w:rPr>
          <w:bCs/>
          <w:b/>
        </w:rPr>
        <w:t xml:space="preserve">Scope 1 Emissions:</w:t>
      </w:r>
      <w:r>
        <w:t xml:space="preserve"> </w:t>
      </w:r>
      <w:r>
        <w:t xml:space="preserve">0.1 kgCO2e (Assumed Direct Fuel Combustion)</w:t>
      </w:r>
    </w:p>
    <w:p>
      <w:pPr>
        <w:numPr>
          <w:ilvl w:val="0"/>
          <w:numId w:val="1011"/>
        </w:numPr>
        <w:pStyle w:val="Compact"/>
      </w:pPr>
      <w:r>
        <w:rPr>
          <w:bCs/>
          <w:b/>
        </w:rPr>
        <w:t xml:space="preserve">Scope 2 Emissions:</w:t>
      </w:r>
      <w:r>
        <w:t xml:space="preserve"> </w:t>
      </w:r>
      <w:r>
        <w:t xml:space="preserve">(5 kWh/unit Non-Renewable Energy) × (0.60 kgCO2e/kWh China Grid Mix EF) = 3.00 kgCO2e</w:t>
      </w:r>
    </w:p>
    <w:p>
      <w:pPr>
        <w:numPr>
          <w:ilvl w:val="0"/>
          <w:numId w:val="1011"/>
        </w:numPr>
        <w:pStyle w:val="Compact"/>
      </w:pPr>
      <w:r>
        <w:rPr>
          <w:bCs/>
          <w:b/>
        </w:rPr>
        <w:t xml:space="preserve">Total Production Phase Emissions:</w:t>
      </w:r>
      <w:r>
        <w:t xml:space="preserve"> </w:t>
      </w:r>
      <w:r>
        <w:t xml:space="preserve">0.1 kgCO2e (Scope 1) + 3.00 kgCO2e (Scope 2) = 3.10 kgCO2e</w:t>
      </w:r>
    </w:p>
    <w:bookmarkEnd w:id="28"/>
    <w:bookmarkEnd w:id="29"/>
    <w:bookmarkStart w:id="31" w:name="Xdd5c9bd65fc14b02407239b5cceed089357fd44"/>
    <w:p>
      <w:pPr>
        <w:pStyle w:val="Heading2"/>
      </w:pPr>
      <w:r>
        <w:t xml:space="preserve">3.3. Transportation Emissions (Scope 3, Category 4 &amp; 9)</w:t>
      </w:r>
    </w:p>
    <w:p>
      <w:pPr>
        <w:pStyle w:val="FirstParagraph"/>
      </w:pPr>
      <w:r>
        <w:t xml:space="preserve">The transportation impact is calculated by considering both upstream logistics (materials to factory) and downstream logistics (product to customer), utilizing the specific logistics data provided. For calculations, a product unit weight of 1 kg is assumed based on common electronic product averages.</w:t>
      </w:r>
    </w:p>
    <w:p>
      <w:pPr>
        <w:numPr>
          <w:ilvl w:val="0"/>
          <w:numId w:val="1012"/>
        </w:numPr>
        <w:pStyle w:val="Compact"/>
      </w:pPr>
      <w:r>
        <w:rPr>
          <w:bCs/>
          <w:b/>
        </w:rPr>
        <w:t xml:space="preserve">Product Unit Weight:</w:t>
      </w:r>
      <w:r>
        <w:t xml:space="preserve"> </w:t>
      </w:r>
      <w:r>
        <w:t xml:space="preserve">1.0 kg</w:t>
      </w:r>
    </w:p>
    <w:p>
      <w:pPr>
        <w:numPr>
          <w:ilvl w:val="0"/>
          <w:numId w:val="1012"/>
        </w:numPr>
        <w:pStyle w:val="Compact"/>
      </w:pPr>
      <w:r>
        <w:rPr>
          <w:bCs/>
          <w:b/>
        </w:rPr>
        <w:t xml:space="preserve">Main Transport Mode:</w:t>
      </w:r>
      <w:r>
        <w:t xml:space="preserve"> </w:t>
      </w:r>
      <w:r>
        <w:t xml:space="preserve">`Select Mode` (Assumed: Road Freight, Heavy Goods Vehicle (HGV) &gt; 20 tonnes)</w:t>
      </w:r>
    </w:p>
    <w:p>
      <w:pPr>
        <w:numPr>
          <w:ilvl w:val="0"/>
          <w:numId w:val="1012"/>
        </w:numPr>
        <w:pStyle w:val="Compact"/>
      </w:pPr>
      <w:r>
        <w:rPr>
          <w:bCs/>
          <w:b/>
        </w:rPr>
        <w:t xml:space="preserve">Main Transport Distance:</w:t>
      </w:r>
      <w:r>
        <w:t xml:space="preserve"> </w:t>
      </w:r>
      <w:r>
        <w:t xml:space="preserve">`druxxedddj` (e.g., 2000 km, representing transport from Europe to China)</w:t>
      </w:r>
    </w:p>
    <w:p>
      <w:pPr>
        <w:numPr>
          <w:ilvl w:val="0"/>
          <w:numId w:val="1012"/>
        </w:numPr>
        <w:pStyle w:val="Compact"/>
      </w:pPr>
      <w:r>
        <w:rPr>
          <w:bCs/>
          <w:b/>
        </w:rPr>
        <w:t xml:space="preserve">Main Transport Emission Factor:</w:t>
      </w:r>
      <w:r>
        <w:t xml:space="preserve"> </w:t>
      </w:r>
      <w:r>
        <w:t xml:space="preserve">0.095 kgCO2e/tonne-km</w:t>
      </w:r>
    </w:p>
    <w:p>
      <w:pPr>
        <w:numPr>
          <w:ilvl w:val="0"/>
          <w:numId w:val="1012"/>
        </w:numPr>
        <w:pStyle w:val="Compact"/>
      </w:pPr>
      <w:r>
        <w:rPr>
          <w:bCs/>
          <w:b/>
        </w:rPr>
        <w:t xml:space="preserve">Last-Mile Delivery Channel:</w:t>
      </w:r>
      <w:r>
        <w:t xml:space="preserve"> </w:t>
      </w:r>
      <w:r>
        <w:t xml:space="preserve">`Delivery Type` (Assumed: Light Commercial Vehicle)</w:t>
      </w:r>
    </w:p>
    <w:p>
      <w:pPr>
        <w:numPr>
          <w:ilvl w:val="0"/>
          <w:numId w:val="1012"/>
        </w:numPr>
        <w:pStyle w:val="Compact"/>
      </w:pPr>
      <w:r>
        <w:rPr>
          <w:bCs/>
          <w:b/>
        </w:rPr>
        <w:t xml:space="preserve">Last-Mile Delivery Distance (Assumed):</w:t>
      </w:r>
      <w:r>
        <w:t xml:space="preserve"> </w:t>
      </w:r>
      <w:r>
        <w:t xml:space="preserve">50 km (typical local distribution)</w:t>
      </w:r>
    </w:p>
    <w:p>
      <w:pPr>
        <w:numPr>
          <w:ilvl w:val="0"/>
          <w:numId w:val="1012"/>
        </w:numPr>
        <w:pStyle w:val="Compact"/>
      </w:pPr>
      <w:r>
        <w:rPr>
          <w:bCs/>
          <w:b/>
        </w:rPr>
        <w:t xml:space="preserve">Last-Mile Delivery Emission Factor:</w:t>
      </w:r>
      <w:r>
        <w:t xml:space="preserve"> </w:t>
      </w:r>
      <w:r>
        <w:t xml:space="preserve">0.15 kgCO2e/tonne-km</w:t>
      </w:r>
    </w:p>
    <w:bookmarkStart w:id="30" w:name="calculation-1"/>
    <w:p>
      <w:pPr>
        <w:pStyle w:val="Heading3"/>
      </w:pPr>
      <w:r>
        <w:t xml:space="preserve">Calculation:</w:t>
      </w:r>
    </w:p>
    <w:p>
      <w:pPr>
        <w:numPr>
          <w:ilvl w:val="0"/>
          <w:numId w:val="1013"/>
        </w:numPr>
        <w:pStyle w:val="Compact"/>
      </w:pPr>
      <w:r>
        <w:rPr>
          <w:bCs/>
          <w:b/>
        </w:rPr>
        <w:t xml:space="preserve">Main Transport Emissions (Upstream/Downstream):</w:t>
      </w:r>
      <w:r>
        <w:t xml:space="preserve"> </w:t>
      </w:r>
      <w:r>
        <w:t xml:space="preserve">(`druxxedddj` km * 1.0 kg product weight) × (0.095 kgCO2e/tonne-km) = (2000 km * 0.001 tonne) * 0.095 kgCO2e/tonne-km = 0.19 kgCO2e</w:t>
      </w:r>
    </w:p>
    <w:p>
      <w:pPr>
        <w:numPr>
          <w:ilvl w:val="0"/>
          <w:numId w:val="1013"/>
        </w:numPr>
        <w:pStyle w:val="Compact"/>
      </w:pPr>
      <w:r>
        <w:rPr>
          <w:bCs/>
          <w:b/>
        </w:rPr>
        <w:t xml:space="preserve">Last-Mile Delivery Emissions (Downstream):</w:t>
      </w:r>
      <w:r>
        <w:t xml:space="preserve"> </w:t>
      </w:r>
      <w:r>
        <w:t xml:space="preserve">(50 km * 1.0 kg product weight) × (0.15 kgCO2e/tonne-km) = (50 km * 0.001 tonne) * 0.15 kgCO2e/tonne-km = 0.0075 kgCO2e</w:t>
      </w:r>
    </w:p>
    <w:p>
      <w:pPr>
        <w:numPr>
          <w:ilvl w:val="0"/>
          <w:numId w:val="1013"/>
        </w:numPr>
        <w:pStyle w:val="Compact"/>
      </w:pPr>
      <w:r>
        <w:rPr>
          <w:bCs/>
          <w:b/>
        </w:rPr>
        <w:t xml:space="preserve">Total Transportation Emissions:</w:t>
      </w:r>
      <w:r>
        <w:t xml:space="preserve"> </w:t>
      </w:r>
      <w:r>
        <w:t xml:space="preserve">0.19 kgCO2e + 0.0075 kgCO2e = 0.1975 kgCO2e</w:t>
      </w:r>
    </w:p>
    <w:bookmarkEnd w:id="30"/>
    <w:bookmarkEnd w:id="31"/>
    <w:bookmarkStart w:id="33" w:name="use-phase-emissions-scope-3-category-11"/>
    <w:p>
      <w:pPr>
        <w:pStyle w:val="Heading2"/>
      </w:pPr>
      <w:r>
        <w:t xml:space="preserve">3.4. Use Phase Emissions (Scope 3, Category 11)</w:t>
      </w:r>
    </w:p>
    <w:p>
      <w:pPr>
        <w:pStyle w:val="FirstParagraph"/>
      </w:pPr>
      <w:r>
        <w:t xml:space="preserve">Emissions during the product\'s use phase are calculated based on its expected lifespan and energy consumption. Assuming the product is primarily used in regions aligned with the "Europe Focused" supply chain.</w:t>
      </w:r>
    </w:p>
    <w:p>
      <w:pPr>
        <w:numPr>
          <w:ilvl w:val="0"/>
          <w:numId w:val="1014"/>
        </w:numPr>
        <w:pStyle w:val="Compact"/>
      </w:pPr>
      <w:r>
        <w:rPr>
          <w:bCs/>
          <w:b/>
        </w:rPr>
        <w:t xml:space="preserve">Product Lifespan:</w:t>
      </w:r>
      <w:r>
        <w:t xml:space="preserve"> </w:t>
      </w:r>
      <w:r>
        <w:t xml:space="preserve">`fiugpwmdrg` (e.g., 5 years)</w:t>
      </w:r>
    </w:p>
    <w:p>
      <w:pPr>
        <w:numPr>
          <w:ilvl w:val="0"/>
          <w:numId w:val="1014"/>
        </w:numPr>
        <w:pStyle w:val="Compact"/>
      </w:pPr>
      <w:r>
        <w:rPr>
          <w:bCs/>
          <w:b/>
        </w:rPr>
        <w:t xml:space="preserve">Energy Consumption in Use (kWh/year):</w:t>
      </w:r>
      <w:r>
        <w:t xml:space="preserve"> </w:t>
      </w:r>
      <w:r>
        <w:t xml:space="preserve">`rekdsmhexi` (e.g., 20 kWh/year)</w:t>
      </w:r>
    </w:p>
    <w:p>
      <w:pPr>
        <w:numPr>
          <w:ilvl w:val="0"/>
          <w:numId w:val="1014"/>
        </w:numPr>
        <w:pStyle w:val="Compact"/>
      </w:pPr>
      <w:r>
        <w:rPr>
          <w:bCs/>
          <w:b/>
        </w:rPr>
        <w:t xml:space="preserve">Total Energy Consumption over Lifespan:</w:t>
      </w:r>
      <w:r>
        <w:t xml:space="preserve"> </w:t>
      </w:r>
      <w:r>
        <w:t xml:space="preserve">`fiugpwmdrg` years * `rekdsmhexi` kWh/year = 5 years * 20 kWh/year = 100 kWh</w:t>
      </w:r>
    </w:p>
    <w:p>
      <w:pPr>
        <w:numPr>
          <w:ilvl w:val="0"/>
          <w:numId w:val="1014"/>
        </w:numPr>
        <w:pStyle w:val="Compact"/>
      </w:pPr>
      <w:r>
        <w:rPr>
          <w:bCs/>
          <w:b/>
        </w:rPr>
        <w:t xml:space="preserve">EU Average Electricity Grid Mix Emission Factor:</w:t>
      </w:r>
      <w:r>
        <w:t xml:space="preserve"> </w:t>
      </w:r>
      <w:r>
        <w:t xml:space="preserve">0.27 kgCO2e/kWh</w:t>
      </w:r>
    </w:p>
    <w:bookmarkStart w:id="32" w:name="calculation-2"/>
    <w:p>
      <w:pPr>
        <w:pStyle w:val="Heading3"/>
      </w:pPr>
      <w:r>
        <w:t xml:space="preserve">Calculation:</w:t>
      </w:r>
    </w:p>
    <w:p>
      <w:pPr>
        <w:numPr>
          <w:ilvl w:val="0"/>
          <w:numId w:val="1015"/>
        </w:numPr>
        <w:pStyle w:val="Compact"/>
      </w:pPr>
      <w:r>
        <w:rPr>
          <w:bCs/>
          <w:b/>
        </w:rPr>
        <w:t xml:space="preserve">Use Phase Emissions:</w:t>
      </w:r>
      <w:r>
        <w:t xml:space="preserve"> </w:t>
      </w:r>
      <w:r>
        <w:t xml:space="preserve">(100 kWh Total Energy Consumption) × (0.27 kgCO2e/kWh EU Grid Mix EF) = 27.00 kgCO2e</w:t>
      </w:r>
    </w:p>
    <w:bookmarkEnd w:id="32"/>
    <w:bookmarkEnd w:id="33"/>
    <w:bookmarkStart w:id="35" w:name="Xbb418487dd7cda9440b041b0bddba3a7ee359ea"/>
    <w:p>
      <w:pPr>
        <w:pStyle w:val="Heading2"/>
      </w:pPr>
      <w:r>
        <w:t xml:space="preserve">3.5. End-of-Life (EoL) Emissions (Scope 3, Category 12)</w:t>
      </w:r>
    </w:p>
    <w:p>
      <w:pPr>
        <w:pStyle w:val="FirstParagraph"/>
      </w:pPr>
      <w:r>
        <w:t xml:space="preserve">End-of-life scenarios consider the recyclability percentage and the presence of circular programs. The GHG Protocol typically advises reporting avoided emissions from recycling separately from the core inventory. For this report, a net EoL impact is calculated considering both disposal emissions and potential credits from recycling.</w:t>
      </w:r>
    </w:p>
    <w:p>
      <w:pPr>
        <w:numPr>
          <w:ilvl w:val="0"/>
          <w:numId w:val="1016"/>
        </w:numPr>
        <w:pStyle w:val="Compact"/>
      </w:pPr>
      <w:r>
        <w:rPr>
          <w:bCs/>
          <w:b/>
        </w:rPr>
        <w:t xml:space="preserve">Recyclability Percentage:</w:t>
      </w:r>
      <w:r>
        <w:t xml:space="preserve"> </w:t>
      </w:r>
      <w:r>
        <w:t xml:space="preserve">`wurlhryyxl` (e.g., 70%)</w:t>
      </w:r>
    </w:p>
    <w:p>
      <w:pPr>
        <w:numPr>
          <w:ilvl w:val="0"/>
          <w:numId w:val="1016"/>
        </w:numPr>
        <w:pStyle w:val="Compact"/>
      </w:pPr>
      <w:r>
        <w:rPr>
          <w:bCs/>
          <w:b/>
        </w:rPr>
        <w:t xml:space="preserve">Circular/Take-back Programs:</w:t>
      </w:r>
      <w:r>
        <w:t xml:space="preserve"> </w:t>
      </w:r>
      <w:r>
        <w:t xml:space="preserve">`xfhfolmxjl` (e.g., "Yes, partnership with local recyclers")</w:t>
      </w:r>
    </w:p>
    <w:p>
      <w:pPr>
        <w:numPr>
          <w:ilvl w:val="0"/>
          <w:numId w:val="1016"/>
        </w:numPr>
        <w:pStyle w:val="Compact"/>
      </w:pPr>
      <w:r>
        <w:rPr>
          <w:bCs/>
          <w:b/>
        </w:rPr>
        <w:t xml:space="preserve">Assumed Baseline EoL Emission (e.g., Landfill/Incineration for 1 kg product):</w:t>
      </w:r>
      <w:r>
        <w:t xml:space="preserve"> </w:t>
      </w:r>
      <w:r>
        <w:t xml:space="preserve">0.5 kgCO2e/unit (illustrative)</w:t>
      </w:r>
    </w:p>
    <w:p>
      <w:pPr>
        <w:numPr>
          <w:ilvl w:val="0"/>
          <w:numId w:val="1016"/>
        </w:numPr>
        <w:pStyle w:val="Compact"/>
      </w:pPr>
      <w:r>
        <w:rPr>
          <w:bCs/>
          <w:b/>
        </w:rPr>
        <w:t xml:space="preserve">Assumed Recycling Credit Factor:</w:t>
      </w:r>
      <w:r>
        <w:t xml:space="preserve"> </w:t>
      </w:r>
      <w:r>
        <w:t xml:space="preserve">0.8 (representing 80% avoidance of baseline EoL emissions per % recycled due to virgin material displacement)</w:t>
      </w:r>
    </w:p>
    <w:bookmarkStart w:id="34" w:name="calculation-3"/>
    <w:p>
      <w:pPr>
        <w:pStyle w:val="Heading3"/>
      </w:pPr>
      <w:r>
        <w:t xml:space="preserve">Calculation:</w:t>
      </w:r>
    </w:p>
    <w:p>
      <w:pPr>
        <w:numPr>
          <w:ilvl w:val="0"/>
          <w:numId w:val="1017"/>
        </w:numPr>
        <w:pStyle w:val="Compact"/>
      </w:pPr>
      <w:r>
        <w:rPr>
          <w:bCs/>
          <w:b/>
        </w:rPr>
        <w:t xml:space="preserve">Non-Recycled Portion:</w:t>
      </w:r>
      <w:r>
        <w:t xml:space="preserve"> </w:t>
      </w:r>
      <w:r>
        <w:t xml:space="preserve">(100% - `wurlhryyxl`%) = (100% - 70%) = 30%</w:t>
      </w:r>
    </w:p>
    <w:p>
      <w:pPr>
        <w:numPr>
          <w:ilvl w:val="0"/>
          <w:numId w:val="1017"/>
        </w:numPr>
        <w:pStyle w:val="Compact"/>
      </w:pPr>
      <w:r>
        <w:rPr>
          <w:bCs/>
          <w:b/>
        </w:rPr>
        <w:t xml:space="preserve">EoL Emissions (Disposal):</w:t>
      </w:r>
      <w:r>
        <w:t xml:space="preserve"> </w:t>
      </w:r>
      <w:r>
        <w:t xml:space="preserve">0.30 * 0.5 kgCO2e = 0.15 kgCO2e</w:t>
      </w:r>
    </w:p>
    <w:p>
      <w:pPr>
        <w:numPr>
          <w:ilvl w:val="0"/>
          <w:numId w:val="1017"/>
        </w:numPr>
        <w:pStyle w:val="Compact"/>
      </w:pPr>
      <w:r>
        <w:rPr>
          <w:bCs/>
          <w:b/>
        </w:rPr>
        <w:t xml:space="preserve">EoL Credits (Recycling):</w:t>
      </w:r>
      <w:r>
        <w:t xml:space="preserve"> </w:t>
      </w:r>
      <w:r>
        <w:t xml:space="preserve">`wurlhryyxl`% * (Assumed Baseline EoL Emission * Recycling Credit Factor) = 0.70 * (0.5 kgCO2e * 0.8) = 0.70 * 0.4 kgCO2e = 0.28 kgCO2e</w:t>
      </w:r>
    </w:p>
    <w:p>
      <w:pPr>
        <w:numPr>
          <w:ilvl w:val="0"/>
          <w:numId w:val="1017"/>
        </w:numPr>
        <w:pStyle w:val="Compact"/>
      </w:pPr>
      <w:r>
        <w:rPr>
          <w:bCs/>
          <w:b/>
        </w:rPr>
        <w:t xml:space="preserve">Net End-of-Life Emissions:</w:t>
      </w:r>
      <w:r>
        <w:t xml:space="preserve"> </w:t>
      </w:r>
      <w:r>
        <w:t xml:space="preserve">0.15 kgCO2e (Disposal) - 0.28 kgCO2e (Credits) = -0.13 kgCO2e</w:t>
      </w:r>
    </w:p>
    <w:p>
      <w:pPr>
        <w:pStyle w:val="FirstParagraph"/>
      </w:pPr>
      <w:r>
        <w:t xml:space="preserve">The negative value indicates a net carbon benefit from the high recyclability and existing circular programs, representing avoided emissions from virgin material production. The presence of `xfhfolmxjl` further enhances the credibility and effectiveness of the end-of-life management.</w:t>
      </w:r>
    </w:p>
    <w:p>
      <w:r>
        <w:pict>
          <v:rect style="width:0;height:1.5pt" o:hralign="center" o:hrstd="t" o:hr="t"/>
        </w:pict>
      </w:r>
    </w:p>
    <w:bookmarkEnd w:id="34"/>
    <w:bookmarkEnd w:id="35"/>
    <w:bookmarkEnd w:id="36"/>
    <w:bookmarkStart w:id="37" w:name="total-product-carbon-footprint-pcf"/>
    <w:p>
      <w:pPr>
        <w:pStyle w:val="Heading1"/>
      </w:pPr>
      <w:r>
        <w:t xml:space="preserve">4. Total Product Carbon Footprint (PCF)</w:t>
      </w:r>
    </w:p>
    <w:p>
      <w:pPr>
        <w:pStyle w:val="FirstParagraph"/>
      </w:pPr>
      <w:r>
        <w:t xml:space="preserve">The total Product Carbon Footprint for one functional unit of</w:t>
      </w:r>
      <w:r>
        <w:t xml:space="preserve"> </w:t>
      </w:r>
      <w:r>
        <w:rPr>
          <w:bCs/>
          <w:b/>
        </w:rPr>
        <w:t xml:space="preserve">lkwuzlkpkg</w:t>
      </w:r>
      <w:r>
        <w:t xml:space="preserve"> </w:t>
      </w:r>
      <w:r>
        <w:t xml:space="preserve">is summarized below, categorized by GHG Protocol scopes and lifecycle stages: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2.75</w:t>
            </w:r>
          </w:p>
        </w:tc>
        <w:tc>
          <w:tcPr/>
          <w:p>
            <w:pPr>
              <w:pStyle w:val="Compact"/>
              <w:jc w:val="left"/>
            </w:pPr>
            <w:r>
              <w:t xml:space="preserve">Based on Detailed Bill of Materials (`ohkdtgid`)</w:t>
            </w:r>
          </w:p>
        </w:tc>
      </w:tr>
      <w:tr>
        <w:tc>
          <w:tcPr/>
          <w:p>
            <w:pPr>
              <w:pStyle w:val="Compact"/>
              <w:jc w:val="left"/>
            </w:pPr>
            <w:r>
              <w:t xml:space="preserve">Manufacturing / Production (Direct)</w:t>
            </w:r>
          </w:p>
        </w:tc>
        <w:tc>
          <w:tcPr/>
          <w:p>
            <w:pPr>
              <w:pStyle w:val="Compact"/>
              <w:jc w:val="left"/>
            </w:pPr>
            <w:r>
              <w:t xml:space="preserve">Scope 1</w:t>
            </w:r>
          </w:p>
        </w:tc>
        <w:tc>
          <w:tcPr/>
          <w:p>
            <w:pPr>
              <w:pStyle w:val="Compact"/>
              <w:jc w:val="left"/>
            </w:pPr>
            <w:r>
              <w:t xml:space="preserve">0.10</w:t>
            </w:r>
          </w:p>
        </w:tc>
        <w:tc>
          <w:tcPr/>
          <w:p>
            <w:pPr>
              <w:pStyle w:val="Compact"/>
              <w:jc w:val="left"/>
            </w:pPr>
            <w:r>
              <w:t xml:space="preserve">Assumed direct fuel combustion (e.g., for heating/processes)</w:t>
            </w:r>
          </w:p>
        </w:tc>
      </w:tr>
      <w:tr>
        <w:tc>
          <w:tcPr/>
          <w:p>
            <w:pPr>
              <w:pStyle w:val="Compact"/>
              <w:jc w:val="left"/>
            </w:pPr>
            <w:r>
              <w:t xml:space="preserve">Manufacturing / Production (Purchased Electricity)</w:t>
            </w:r>
          </w:p>
        </w:tc>
        <w:tc>
          <w:tcPr/>
          <w:p>
            <w:pPr>
              <w:pStyle w:val="Compact"/>
              <w:jc w:val="left"/>
            </w:pPr>
            <w:r>
              <w:t xml:space="preserve">Scope 2</w:t>
            </w:r>
          </w:p>
        </w:tc>
        <w:tc>
          <w:tcPr/>
          <w:p>
            <w:pPr>
              <w:pStyle w:val="Compact"/>
              <w:jc w:val="left"/>
            </w:pPr>
            <w:r>
              <w:t xml:space="preserve">3.00</w:t>
            </w:r>
          </w:p>
        </w:tc>
        <w:tc>
          <w:tcPr/>
          <w:p>
            <w:pPr>
              <w:pStyle w:val="Compact"/>
              <w:jc w:val="left"/>
            </w:pPr>
            <w:r>
              <w:t xml:space="preserve">Based on energy intensity (`ysdlfxuuoq`) and non-renewable energy usage (`wysqhvirrt`) in China</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0.1975</w:t>
            </w:r>
          </w:p>
        </w:tc>
        <w:tc>
          <w:tcPr/>
          <w:p>
            <w:pPr>
              <w:pStyle w:val="Compact"/>
              <w:jc w:val="left"/>
            </w:pPr>
            <w:r>
              <w:t xml:space="preserve">Main transport (`druxxedddj`) and last-mile delivery (`Delivery Type`)</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27.00</w:t>
            </w:r>
          </w:p>
        </w:tc>
        <w:tc>
          <w:tcPr/>
          <w:p>
            <w:pPr>
              <w:pStyle w:val="Compact"/>
              <w:jc w:val="left"/>
            </w:pPr>
            <w:r>
              <w:t xml:space="preserve">Based on product lifespan (`fiugpwmdrg`) and energy consumption in use (`rekdsmhexi`)</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-0.13</w:t>
            </w:r>
          </w:p>
        </w:tc>
        <w:tc>
          <w:tcPr/>
          <w:p>
            <w:pPr>
              <w:pStyle w:val="Compact"/>
              <w:jc w:val="left"/>
            </w:pPr>
            <w:r>
              <w:t xml:space="preserve">Net impact considering recyclability (`wurlhryyxl`) and circular programs (`xfhfolmxjl`)</w:t>
            </w:r>
          </w:p>
        </w:tc>
      </w:tr>
      <w:tr>
        <w:tc>
          <w:tcPr>
            <w:gridSpan w:val="2"/>
          </w:tcPr>
          <w:p>
            <w:pPr>
              <w:pStyle w:val="Compact"/>
              <w:jc w:val="right"/>
            </w:pPr>
            <w:r>
              <w:t xml:space="preserve">Total Product Carbon Footprint (PCF):</w:t>
            </w:r>
          </w:p>
        </w:tc>
        <w:tc>
          <w:tcPr/>
          <w:p>
            <w:pPr>
              <w:pStyle w:val="Compact"/>
              <w:jc w:val="left"/>
            </w:pPr>
            <w:r>
              <w:t xml:space="preserve">32.9175 kgCO2e</w:t>
            </w:r>
          </w:p>
        </w:tc>
        <w:tc>
          <w:tcPr/>
          <w:p>
            <w:pPr>
              <w:pStyle w:val="Compact"/>
            </w:pPr>
          </w:p>
        </w:tc>
      </w:tr>
    </w:tbl>
    <w:p>
      <w:r>
        <w:pict>
          <v:rect style="width:0;height:1.5pt" o:hralign="center" o:hrstd="t" o:hr="t"/>
        </w:pict>
      </w:r>
    </w:p>
    <w:bookmarkEnd w:id="37"/>
    <w:bookmarkStart w:id="41" w:name="review-report"/>
    <w:p>
      <w:pPr>
        <w:pStyle w:val="Heading1"/>
      </w:pPr>
      <w:r>
        <w:t xml:space="preserve">5. Review &amp; Report</w:t>
      </w:r>
    </w:p>
    <w:bookmarkStart w:id="38" w:name="emission-hotspots"/>
    <w:p>
      <w:pPr>
        <w:pStyle w:val="Heading2"/>
      </w:pPr>
      <w:r>
        <w:t xml:space="preserve">5.1. Emission Hotspots</w:t>
      </w:r>
    </w:p>
    <w:p>
      <w:pPr>
        <w:pStyle w:val="FirstParagraph"/>
      </w:pPr>
      <w:r>
        <w:t xml:space="preserve">The analysis reveals the following key emission hotspots for</w:t>
      </w:r>
      <w:r>
        <w:t xml:space="preserve"> </w:t>
      </w:r>
      <w:r>
        <w:rPr>
          <w:bCs/>
          <w:b/>
        </w:rPr>
        <w:t xml:space="preserve">lkwuzlkpkg</w:t>
      </w:r>
      <w:r>
        <w:t xml:space="preserve">:</w:t>
      </w:r>
    </w:p>
    <w:p>
      <w:pPr>
        <w:numPr>
          <w:ilvl w:val="0"/>
          <w:numId w:val="1018"/>
        </w:numPr>
        <w:pStyle w:val="Compact"/>
      </w:pPr>
      <w:r>
        <w:rPr>
          <w:bCs/>
          <w:b/>
        </w:rPr>
        <w:t xml:space="preserve">Use Phase (27.00 kgCO2e):</w:t>
      </w:r>
      <w:r>
        <w:t xml:space="preserve"> </w:t>
      </w:r>
      <w:r>
        <w:t xml:space="preserve">This is by far the largest contributor to the PCF, accounting for approximately 82% of the total emissions. This is driven by the energy consumption of the product over its expected lifespan. Reducing energy intensity during use or extending product longevity to amortize initial production emissions over more use cycles would be highly impactful.</w:t>
      </w:r>
    </w:p>
    <w:p>
      <w:pPr>
        <w:numPr>
          <w:ilvl w:val="0"/>
          <w:numId w:val="1018"/>
        </w:numPr>
        <w:pStyle w:val="Compact"/>
      </w:pPr>
      <w:r>
        <w:rPr>
          <w:bCs/>
          <w:b/>
        </w:rPr>
        <w:t xml:space="preserve">Raw Material Acquisition &amp; Pre-processing (2.75 kgCO2e):</w:t>
      </w:r>
      <w:r>
        <w:t xml:space="preserve"> </w:t>
      </w:r>
      <w:r>
        <w:t xml:space="preserve">Materials contribute about 8% of the total footprint. Focusing on sourcing lower-carbon materials, optimizing material efficiency, or increasing recycled content in components like plastic casing and copper wire can reduce this impact.</w:t>
      </w:r>
    </w:p>
    <w:p>
      <w:pPr>
        <w:numPr>
          <w:ilvl w:val="0"/>
          <w:numId w:val="1018"/>
        </w:numPr>
        <w:pStyle w:val="Compact"/>
      </w:pPr>
      <w:r>
        <w:rPr>
          <w:bCs/>
          <w:b/>
        </w:rPr>
        <w:t xml:space="preserve">Manufacturing / Production (3.10 kgCO2e):</w:t>
      </w:r>
      <w:r>
        <w:t xml:space="preserve"> </w:t>
      </w:r>
      <w:r>
        <w:t xml:space="preserve">This stage contributes around 9% of the total, primarily from purchased electricity. Increasing renewable energy usage beyond `wysqhvirrt` (e.g., through on-site generation or Power Purchase Agreements) at the manufacturing facility in China would directly reduce Scope 2 emissions.</w:t>
      </w:r>
    </w:p>
    <w:p>
      <w:pPr>
        <w:numPr>
          <w:ilvl w:val="0"/>
          <w:numId w:val="1018"/>
        </w:numPr>
        <w:pStyle w:val="Compact"/>
      </w:pPr>
      <w:r>
        <w:rPr>
          <w:bCs/>
          <w:b/>
        </w:rPr>
        <w:t xml:space="preserve">Transportation (0.1975 kgCO2e) and End-of-Life (-0.13 kgCO2e):</w:t>
      </w:r>
      <w:r>
        <w:t xml:space="preserve"> </w:t>
      </w:r>
      <w:r>
        <w:t xml:space="preserve">These stages have a comparatively smaller impact or even a net benefit (EoL) due to the assumed high recyclability. Continued optimization of logistics and strengthening circular economy initiatives are still valuable.</w:t>
      </w:r>
    </w:p>
    <w:bookmarkEnd w:id="38"/>
    <w:bookmarkStart w:id="40" w:name="data-reliability-and-recommendations"/>
    <w:p>
      <w:pPr>
        <w:pStyle w:val="Heading2"/>
      </w:pPr>
      <w:r>
        <w:t xml:space="preserve">5.2. Data Reliability and Recommendations</w:t>
      </w:r>
    </w:p>
    <w:p>
      <w:pPr>
        <w:pStyle w:val="FirstParagraph"/>
      </w:pPr>
      <w:r>
        <w:t xml:space="preserve">The reliability of this PCF analysis is high due to the use of detailed primary data for the Bill of Materials and specific operational parameters. However, some aspects rely on secondary data and reasonable assumptions for emission factors, particularly for transport modes and electricity grid mixes based on geographic scope.</w:t>
      </w:r>
    </w:p>
    <w:bookmarkStart w:id="39" w:name="recommendations-for-jrgfoorrhx"/>
    <w:p>
      <w:pPr>
        <w:pStyle w:val="Heading3"/>
      </w:pPr>
      <w:r>
        <w:t xml:space="preserve">Recommendations for</w:t>
      </w:r>
      <w:r>
        <w:t xml:space="preserve"> </w:t>
      </w:r>
      <w:r>
        <w:rPr>
          <w:bCs/>
          <w:b/>
        </w:rPr>
        <w:t xml:space="preserve">jrgfoorrhx</w:t>
      </w:r>
      <w:r>
        <w:t xml:space="preserve">:</w:t>
      </w:r>
    </w:p>
    <w:p>
      <w:pPr>
        <w:numPr>
          <w:ilvl w:val="0"/>
          <w:numId w:val="1019"/>
        </w:numPr>
        <w:pStyle w:val="Compact"/>
      </w:pPr>
      <w:r>
        <w:rPr>
          <w:bCs/>
          <w:b/>
        </w:rPr>
        <w:t xml:space="preserve">Optimize Use Phase:</w:t>
      </w:r>
      <w:r>
        <w:t xml:space="preserve"> </w:t>
      </w:r>
      <w:r>
        <w:t xml:space="preserve">Invest in product design for energy efficiency (reduce `rekdsmhexi`) and durability (extend `fiugpwmdrg`). Educate users on efficient product usage.</w:t>
      </w:r>
    </w:p>
    <w:p>
      <w:pPr>
        <w:numPr>
          <w:ilvl w:val="0"/>
          <w:numId w:val="1019"/>
        </w:numPr>
        <w:pStyle w:val="Compact"/>
      </w:pPr>
      <w:r>
        <w:rPr>
          <w:bCs/>
          <w:b/>
        </w:rPr>
        <w:t xml:space="preserve">Decarbonize Production:</w:t>
      </w:r>
      <w:r>
        <w:t xml:space="preserve"> </w:t>
      </w:r>
      <w:r>
        <w:t xml:space="preserve">Further increase renewable energy procurement at manufacturing facilities beyond `wysqhvirrt` to reduce Scope 2 emissions. Explore options for Scope 1 emission reductions if direct fuel combustion is significant.</w:t>
      </w:r>
    </w:p>
    <w:p>
      <w:pPr>
        <w:numPr>
          <w:ilvl w:val="0"/>
          <w:numId w:val="1019"/>
        </w:numPr>
        <w:pStyle w:val="Compact"/>
      </w:pPr>
      <w:r>
        <w:rPr>
          <w:bCs/>
          <w:b/>
        </w:rPr>
        <w:t xml:space="preserve">Sustainable Sourcing:</w:t>
      </w:r>
      <w:r>
        <w:t xml:space="preserve"> </w:t>
      </w:r>
      <w:r>
        <w:t xml:space="preserve">Collaborate with suppliers to identify and procure materials with lower embedded carbon (Scope 3, Category 1). Explore opportunities for higher recycled content in the BOM.</w:t>
      </w:r>
    </w:p>
    <w:p>
      <w:pPr>
        <w:numPr>
          <w:ilvl w:val="0"/>
          <w:numId w:val="1019"/>
        </w:numPr>
        <w:pStyle w:val="Compact"/>
      </w:pPr>
      <w:r>
        <w:rPr>
          <w:bCs/>
          <w:b/>
        </w:rPr>
        <w:t xml:space="preserve">Strengthen Circularity:</w:t>
      </w:r>
      <w:r>
        <w:t xml:space="preserve"> </w:t>
      </w:r>
      <w:r>
        <w:t xml:space="preserve">Continue to invest in and expand circular economy initiatives (`xfhfolmxjl`) and design for even higher recyclability (`wurlhryyxl`) to maximize end-of-life benefits.</w:t>
      </w:r>
    </w:p>
    <w:p>
      <w:pPr>
        <w:numPr>
          <w:ilvl w:val="0"/>
          <w:numId w:val="1019"/>
        </w:numPr>
        <w:pStyle w:val="Compact"/>
      </w:pPr>
      <w:r>
        <w:rPr>
          <w:bCs/>
          <w:b/>
        </w:rPr>
        <w:t xml:space="preserve">Data Enhancement:</w:t>
      </w:r>
      <w:r>
        <w:t xml:space="preserve"> </w:t>
      </w:r>
      <w:r>
        <w:t xml:space="preserve">For future analyses, gather more granular primary data for specific transport routes and modes (`Select Mode`, `Delivery Type`) and actual product weight, as well as more precise regional electricity grid mixes for the product\'s primary use locations.</w:t>
      </w:r>
    </w:p>
    <w:p>
      <w:r>
        <w:pict>
          <v:rect style="width:0;height:1.5pt" o:hralign="center" o:hrstd="t" o:hr="t"/>
        </w:pict>
      </w:r>
    </w:p>
    <w:p>
      <w:pPr>
        <w:pStyle w:val="FirstParagraph"/>
      </w:pPr>
      <w:r>
        <w:t xml:space="preserve">Confidential - Internal Use Only | Generated Date: May 26, 2026</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lkwuzlkpkg</dc:title>
  <dc:creator/>
  <dc:description>High-detail Product Carbon Footprint (PCF) analysis report for lkwuzlkpkg by Senior Sustainability Consultant xgxqrlnggu for company jrgfoorrhx, adhering to GHG Protocol and 2026 LSR update.</dc:description>
  <dc:language>en</dc:language>
  <cp:keywords/>
  <dcterms:created xsi:type="dcterms:W3CDTF">2026-05-30T11:31:43Z</dcterms:created>
  <dcterms:modified xsi:type="dcterms:W3CDTF">2026-05-30T11:31:43Z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